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660" w:type="pc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6"/>
        <w:gridCol w:w="5169"/>
        <w:gridCol w:w="2721"/>
      </w:tblGrid>
      <w:tr w:rsidR="003A54DC" w:rsidRPr="008B0D01" w14:paraId="1452A21D" w14:textId="77777777" w:rsidTr="00276DCF">
        <w:trPr>
          <w:trHeight w:val="3566"/>
        </w:trPr>
        <w:tc>
          <w:tcPr>
            <w:tcW w:w="1277" w:type="pct"/>
          </w:tcPr>
          <w:p w14:paraId="7F51ACDC" w14:textId="77777777" w:rsidR="003A54DC" w:rsidRPr="008B0D01" w:rsidRDefault="003A54DC" w:rsidP="00276DCF">
            <w:pPr>
              <w:spacing w:before="120" w:after="160"/>
              <w:ind w:right="-104"/>
              <w:jc w:val="center"/>
              <w:rPr>
                <w:rFonts w:ascii="Times New Roman" w:hAnsi="Times New Roman" w:cs="Times New Roman"/>
                <w:i/>
                <w:iCs/>
                <w:sz w:val="16"/>
                <w:szCs w:val="16"/>
                <w:lang w:val="en-US"/>
              </w:rPr>
            </w:pPr>
            <w:bookmarkStart w:id="0" w:name="_Hlk92617790"/>
            <w:r w:rsidRPr="008B0D01">
              <w:rPr>
                <w:rFonts w:ascii="Times New Roman" w:hAnsi="Times New Roman" w:cs="Times New Roman"/>
                <w:i/>
                <w:iCs/>
                <w:sz w:val="16"/>
                <w:szCs w:val="16"/>
                <w:lang w:val="en-US"/>
              </w:rPr>
              <w:t>From the Desk of:</w:t>
            </w:r>
          </w:p>
          <w:p w14:paraId="7B6162D0" w14:textId="77777777" w:rsidR="003A54DC" w:rsidRPr="008B0D01" w:rsidRDefault="003A54DC" w:rsidP="00276DCF">
            <w:pPr>
              <w:spacing w:after="160"/>
              <w:ind w:right="-104"/>
              <w:jc w:val="center"/>
              <w:rPr>
                <w:rFonts w:ascii="Times New Roman" w:hAnsi="Times New Roman" w:cs="Times New Roman"/>
                <w:smallCaps/>
                <w:sz w:val="24"/>
                <w:szCs w:val="24"/>
                <w:lang w:val="en-US"/>
              </w:rPr>
            </w:pPr>
            <w:r w:rsidRPr="008B0D01">
              <w:rPr>
                <w:rFonts w:ascii="Times New Roman" w:hAnsi="Times New Roman" w:cs="Times New Roman"/>
                <w:smallCaps/>
                <w:sz w:val="24"/>
                <w:szCs w:val="24"/>
                <w:lang w:val="en-US"/>
              </w:rPr>
              <w:t>JACOB LEVIN</w:t>
            </w:r>
          </w:p>
          <w:p w14:paraId="6218BF2B" w14:textId="77777777" w:rsidR="003A54DC" w:rsidRPr="008B0D01" w:rsidRDefault="003A54DC" w:rsidP="00276DCF">
            <w:pPr>
              <w:spacing w:after="160"/>
              <w:ind w:right="-104"/>
              <w:jc w:val="center"/>
              <w:rPr>
                <w:rFonts w:ascii="Times New Roman" w:hAnsi="Times New Roman" w:cs="Times New Roman"/>
                <w:sz w:val="16"/>
                <w:szCs w:val="16"/>
                <w:lang w:val="en-US"/>
              </w:rPr>
            </w:pPr>
            <w:r w:rsidRPr="008B0D01">
              <w:rPr>
                <w:rFonts w:ascii="Times New Roman" w:hAnsi="Times New Roman" w:cs="Times New Roman"/>
                <w:sz w:val="16"/>
                <w:szCs w:val="16"/>
                <w:lang w:val="en-US"/>
              </w:rPr>
              <w:t>LAWYER and COUNSELOR AT LAW</w:t>
            </w:r>
          </w:p>
          <w:p w14:paraId="6A6ACD54" w14:textId="77777777" w:rsidR="003A54DC" w:rsidRPr="008B0D01" w:rsidRDefault="003A54DC" w:rsidP="00276DCF">
            <w:pPr>
              <w:ind w:right="-104"/>
              <w:jc w:val="center"/>
              <w:rPr>
                <w:rFonts w:ascii="Times New Roman" w:hAnsi="Times New Roman" w:cs="Times New Roman"/>
                <w:b/>
                <w:bCs/>
                <w:smallCaps/>
                <w:sz w:val="16"/>
                <w:szCs w:val="16"/>
                <w:lang w:val="en-US"/>
              </w:rPr>
            </w:pPr>
            <w:r w:rsidRPr="008B0D01">
              <w:rPr>
                <w:rFonts w:ascii="Times New Roman" w:hAnsi="Times New Roman" w:cs="Times New Roman"/>
                <w:b/>
                <w:bCs/>
                <w:smallCaps/>
                <w:sz w:val="16"/>
                <w:szCs w:val="16"/>
                <w:lang w:val="en-US"/>
              </w:rPr>
              <w:t>MEMBER</w:t>
            </w:r>
          </w:p>
          <w:p w14:paraId="1E540142" w14:textId="77777777" w:rsidR="003A54DC" w:rsidRPr="008B0D01" w:rsidRDefault="003A54DC" w:rsidP="00276DCF">
            <w:pPr>
              <w:spacing w:after="160"/>
              <w:ind w:right="-104"/>
              <w:jc w:val="center"/>
              <w:rPr>
                <w:rFonts w:ascii="Times New Roman" w:hAnsi="Times New Roman" w:cs="Times New Roman"/>
                <w:smallCaps/>
                <w:sz w:val="16"/>
                <w:szCs w:val="16"/>
                <w:lang w:val="en-US"/>
              </w:rPr>
            </w:pPr>
            <w:r w:rsidRPr="008B0D01">
              <w:rPr>
                <w:rFonts w:ascii="Times New Roman" w:hAnsi="Times New Roman" w:cs="Times New Roman"/>
                <w:smallCaps/>
                <w:sz w:val="16"/>
                <w:szCs w:val="16"/>
                <w:lang w:val="en-US"/>
              </w:rPr>
              <w:t>national association of criminal defense lawyers</w:t>
            </w:r>
          </w:p>
          <w:p w14:paraId="17C1107A" w14:textId="77777777" w:rsidR="003A54DC" w:rsidRPr="008B0D01" w:rsidRDefault="003A54DC" w:rsidP="00276DCF">
            <w:pPr>
              <w:spacing w:after="160"/>
              <w:ind w:right="-104"/>
              <w:jc w:val="center"/>
              <w:rPr>
                <w:rFonts w:ascii="Times New Roman" w:hAnsi="Times New Roman" w:cs="Times New Roman"/>
                <w:smallCaps/>
                <w:sz w:val="16"/>
                <w:szCs w:val="16"/>
                <w:lang w:val="en-US"/>
              </w:rPr>
            </w:pPr>
            <w:r w:rsidRPr="008B0D01">
              <w:rPr>
                <w:rFonts w:ascii="Times New Roman" w:hAnsi="Times New Roman" w:cs="Times New Roman"/>
                <w:smallCaps/>
                <w:sz w:val="16"/>
                <w:szCs w:val="16"/>
                <w:lang w:val="en-US"/>
              </w:rPr>
              <w:t>California public defenders association</w:t>
            </w:r>
          </w:p>
          <w:p w14:paraId="64A1E771" w14:textId="77777777" w:rsidR="003A54DC" w:rsidRPr="008B0D01" w:rsidRDefault="003A54DC" w:rsidP="00276DCF">
            <w:pPr>
              <w:spacing w:after="160"/>
              <w:ind w:right="-104"/>
              <w:jc w:val="center"/>
              <w:rPr>
                <w:rFonts w:ascii="Times New Roman" w:hAnsi="Times New Roman" w:cs="Times New Roman"/>
                <w:smallCaps/>
                <w:sz w:val="16"/>
                <w:szCs w:val="16"/>
                <w:lang w:val="en-US"/>
              </w:rPr>
            </w:pPr>
            <w:r w:rsidRPr="008B0D01">
              <w:rPr>
                <w:rFonts w:ascii="Times New Roman" w:hAnsi="Times New Roman" w:cs="Times New Roman"/>
                <w:smallCaps/>
                <w:sz w:val="16"/>
                <w:szCs w:val="16"/>
                <w:lang w:val="en-US"/>
              </w:rPr>
              <w:t>Shasta-trinity counties bar association</w:t>
            </w:r>
          </w:p>
          <w:p w14:paraId="3238D310" w14:textId="77777777" w:rsidR="003A54DC" w:rsidRPr="008B0D01" w:rsidRDefault="003A54DC" w:rsidP="00276DCF">
            <w:pPr>
              <w:spacing w:after="160"/>
              <w:ind w:right="-104"/>
              <w:jc w:val="center"/>
              <w:rPr>
                <w:rFonts w:ascii="Times New Roman" w:hAnsi="Times New Roman" w:cs="Times New Roman"/>
                <w:smallCaps/>
                <w:sz w:val="16"/>
                <w:szCs w:val="16"/>
                <w:lang w:val="en-US"/>
              </w:rPr>
            </w:pPr>
            <w:r w:rsidRPr="008B0D01">
              <w:rPr>
                <w:rFonts w:ascii="Times New Roman" w:hAnsi="Times New Roman" w:cs="Times New Roman"/>
                <w:smallCaps/>
                <w:sz w:val="16"/>
                <w:szCs w:val="16"/>
                <w:lang w:val="en-US"/>
              </w:rPr>
              <w:t>san Francisco Jewish bar association</w:t>
            </w:r>
          </w:p>
          <w:p w14:paraId="4905CDB3" w14:textId="77777777" w:rsidR="003A54DC" w:rsidRPr="008B0D01" w:rsidRDefault="003A54DC" w:rsidP="00276DCF">
            <w:pPr>
              <w:spacing w:after="120"/>
              <w:ind w:right="-104"/>
              <w:jc w:val="center"/>
              <w:rPr>
                <w:rFonts w:ascii="Times New Roman" w:hAnsi="Times New Roman" w:cs="Times New Roman"/>
                <w:sz w:val="18"/>
                <w:szCs w:val="18"/>
                <w:lang w:val="en-US"/>
              </w:rPr>
            </w:pPr>
            <w:r w:rsidRPr="008B0D01">
              <w:rPr>
                <w:rFonts w:ascii="Times New Roman" w:hAnsi="Times New Roman" w:cs="Times New Roman"/>
                <w:smallCaps/>
                <w:sz w:val="16"/>
                <w:szCs w:val="16"/>
                <w:lang w:val="en-US"/>
              </w:rPr>
              <w:t>American association of Jewish lawyers and jurists</w:t>
            </w:r>
          </w:p>
          <w:p w14:paraId="7EB13167" w14:textId="77777777" w:rsidR="003A54DC" w:rsidRPr="008B0D01" w:rsidRDefault="003A54DC" w:rsidP="00276DCF">
            <w:pPr>
              <w:spacing w:after="120"/>
              <w:ind w:right="-104"/>
              <w:jc w:val="center"/>
              <w:rPr>
                <w:rFonts w:ascii="Times New Roman" w:hAnsi="Times New Roman" w:cs="Times New Roman"/>
                <w:sz w:val="18"/>
                <w:szCs w:val="18"/>
                <w:lang w:val="en-US"/>
              </w:rPr>
            </w:pPr>
          </w:p>
        </w:tc>
        <w:tc>
          <w:tcPr>
            <w:tcW w:w="2439" w:type="pct"/>
          </w:tcPr>
          <w:p w14:paraId="6EC13367" w14:textId="77777777" w:rsidR="003A54DC" w:rsidRPr="008B0D01" w:rsidRDefault="003A54DC" w:rsidP="00276DCF">
            <w:pPr>
              <w:spacing w:after="240"/>
              <w:ind w:right="325"/>
              <w:rPr>
                <w:rFonts w:ascii="Garamond" w:hAnsi="Garamond" w:cs="Times New Roman"/>
                <w:smallCaps/>
                <w:sz w:val="44"/>
                <w:szCs w:val="44"/>
                <w:lang w:val="en-US"/>
              </w:rPr>
            </w:pPr>
            <w:r w:rsidRPr="008B0D01">
              <w:rPr>
                <w:rFonts w:ascii="Times New Roman" w:hAnsi="Times New Roman" w:cs="Times New Roman"/>
                <w:noProof/>
                <w:sz w:val="18"/>
                <w:szCs w:val="18"/>
                <w:lang w:val="en-US"/>
              </w:rPr>
              <w:t xml:space="preserve">   </w:t>
            </w:r>
            <w:r w:rsidRPr="008B0D01">
              <w:rPr>
                <w:rFonts w:ascii="Times New Roman" w:hAnsi="Times New Roman" w:cs="Times New Roman"/>
                <w:noProof/>
                <w:sz w:val="18"/>
                <w:szCs w:val="18"/>
                <w:lang w:val="en-US"/>
              </w:rPr>
              <w:drawing>
                <wp:inline distT="0" distB="0" distL="0" distR="0" wp14:anchorId="53A37A80" wp14:editId="419F5AA4">
                  <wp:extent cx="2845606" cy="1179142"/>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2845606" cy="1179142"/>
                          </a:xfrm>
                          <a:prstGeom prst="rect">
                            <a:avLst/>
                          </a:prstGeom>
                        </pic:spPr>
                      </pic:pic>
                    </a:graphicData>
                  </a:graphic>
                </wp:inline>
              </w:drawing>
            </w:r>
          </w:p>
          <w:p w14:paraId="04DDE158" w14:textId="77777777" w:rsidR="003A54DC" w:rsidRPr="008B0D01" w:rsidRDefault="003A54DC" w:rsidP="00276DCF">
            <w:pPr>
              <w:spacing w:after="240"/>
              <w:ind w:right="325"/>
              <w:jc w:val="center"/>
              <w:rPr>
                <w:rFonts w:ascii="Times New Roman" w:hAnsi="Times New Roman" w:cs="Times New Roman"/>
                <w:smallCaps/>
                <w:sz w:val="32"/>
                <w:szCs w:val="32"/>
                <w:lang w:val="en-US"/>
              </w:rPr>
            </w:pPr>
            <w:r w:rsidRPr="008B0D01">
              <w:rPr>
                <w:rFonts w:ascii="Times New Roman" w:hAnsi="Times New Roman" w:cs="Times New Roman"/>
                <w:smallCaps/>
                <w:sz w:val="32"/>
                <w:szCs w:val="32"/>
                <w:lang w:val="en-US"/>
              </w:rPr>
              <w:t xml:space="preserve">CRIMINAL DEFENSE, FAMILY LAW, CIVIL LITIGATION, ANTI-BULLYING ADVOCACY </w:t>
            </w:r>
          </w:p>
          <w:p w14:paraId="4F1AA83D" w14:textId="77777777" w:rsidR="003A54DC" w:rsidRPr="008B0D01" w:rsidRDefault="003A54DC" w:rsidP="00276DCF">
            <w:pPr>
              <w:spacing w:after="240"/>
              <w:ind w:right="325"/>
              <w:jc w:val="center"/>
              <w:rPr>
                <w:rFonts w:ascii="Times New Roman" w:hAnsi="Times New Roman" w:cs="Times New Roman"/>
                <w:smallCaps/>
                <w:sz w:val="18"/>
                <w:szCs w:val="18"/>
                <w:lang w:val="en-US"/>
              </w:rPr>
            </w:pPr>
            <w:r w:rsidRPr="008B0D01">
              <w:rPr>
                <w:rFonts w:ascii="Times New Roman" w:hAnsi="Times New Roman" w:cs="Times New Roman"/>
                <w:smallCaps/>
                <w:sz w:val="18"/>
                <w:szCs w:val="18"/>
                <w:lang w:val="en-US"/>
              </w:rPr>
              <w:t xml:space="preserve">1308 PLACER ST. </w:t>
            </w:r>
          </w:p>
          <w:p w14:paraId="4CB4F9A3" w14:textId="77777777" w:rsidR="003A54DC" w:rsidRPr="008B0D01" w:rsidRDefault="003A54DC" w:rsidP="00276DCF">
            <w:pPr>
              <w:spacing w:after="240"/>
              <w:ind w:right="325"/>
              <w:jc w:val="center"/>
              <w:rPr>
                <w:rFonts w:ascii="Times New Roman" w:hAnsi="Times New Roman" w:cs="Times New Roman"/>
                <w:smallCaps/>
                <w:sz w:val="18"/>
                <w:szCs w:val="18"/>
                <w:lang w:val="en-US"/>
              </w:rPr>
            </w:pPr>
            <w:r w:rsidRPr="008B0D01">
              <w:rPr>
                <w:rFonts w:ascii="Times New Roman" w:hAnsi="Times New Roman" w:cs="Times New Roman"/>
                <w:smallCaps/>
                <w:sz w:val="18"/>
                <w:szCs w:val="18"/>
                <w:lang w:val="en-US"/>
              </w:rPr>
              <w:t>REDDING, CALIFORNIA 96001</w:t>
            </w:r>
          </w:p>
          <w:p w14:paraId="55D9B502" w14:textId="77777777" w:rsidR="003A54DC" w:rsidRPr="008B0D01" w:rsidRDefault="003A54DC" w:rsidP="00276DCF">
            <w:pPr>
              <w:spacing w:after="240"/>
              <w:ind w:right="325"/>
              <w:jc w:val="center"/>
              <w:rPr>
                <w:rFonts w:ascii="Times New Roman" w:hAnsi="Times New Roman" w:cs="Times New Roman"/>
                <w:smallCaps/>
                <w:sz w:val="18"/>
                <w:szCs w:val="18"/>
                <w:lang w:val="en-US"/>
              </w:rPr>
            </w:pPr>
            <w:r w:rsidRPr="008B0D01">
              <w:rPr>
                <w:rFonts w:ascii="Times New Roman" w:hAnsi="Times New Roman" w:cs="Times New Roman"/>
                <w:smallCaps/>
                <w:sz w:val="18"/>
                <w:szCs w:val="18"/>
                <w:lang w:val="en-US"/>
              </w:rPr>
              <w:t>TELEPHONE: (530) 248-2700</w:t>
            </w:r>
          </w:p>
          <w:p w14:paraId="1C0202EB" w14:textId="77777777" w:rsidR="003A54DC" w:rsidRPr="008B0D01" w:rsidRDefault="003A54DC" w:rsidP="00276DCF">
            <w:pPr>
              <w:spacing w:after="120"/>
              <w:ind w:right="325"/>
              <w:jc w:val="center"/>
              <w:rPr>
                <w:rFonts w:ascii="Times New Roman" w:hAnsi="Times New Roman" w:cs="Times New Roman"/>
                <w:sz w:val="18"/>
                <w:szCs w:val="18"/>
                <w:lang w:val="en-US"/>
              </w:rPr>
            </w:pPr>
            <w:r w:rsidRPr="008B0D01">
              <w:rPr>
                <w:rFonts w:ascii="Times New Roman" w:hAnsi="Times New Roman" w:cs="Times New Roman"/>
                <w:smallCaps/>
                <w:sz w:val="18"/>
                <w:szCs w:val="18"/>
                <w:lang w:val="en-US"/>
              </w:rPr>
              <w:t>FACSIMILE: (530) 248-2701</w:t>
            </w:r>
          </w:p>
        </w:tc>
        <w:tc>
          <w:tcPr>
            <w:tcW w:w="1284" w:type="pct"/>
          </w:tcPr>
          <w:p w14:paraId="1436A826" w14:textId="77777777" w:rsidR="003A54DC" w:rsidRPr="008B0D01" w:rsidRDefault="003A54DC" w:rsidP="00276DCF">
            <w:pPr>
              <w:spacing w:after="160"/>
              <w:ind w:right="-104"/>
              <w:rPr>
                <w:rFonts w:ascii="Times New Roman" w:hAnsi="Times New Roman" w:cs="Times New Roman"/>
                <w:smallCaps/>
                <w:sz w:val="24"/>
                <w:szCs w:val="24"/>
                <w:lang w:val="en-US"/>
              </w:rPr>
            </w:pPr>
          </w:p>
          <w:p w14:paraId="0FDD64D1" w14:textId="77777777" w:rsidR="003A54DC" w:rsidRPr="008B0D01" w:rsidRDefault="003A54DC" w:rsidP="00276DCF">
            <w:pPr>
              <w:spacing w:after="160"/>
              <w:ind w:right="-104"/>
              <w:rPr>
                <w:rFonts w:ascii="Times New Roman" w:hAnsi="Times New Roman" w:cs="Times New Roman"/>
                <w:smallCaps/>
                <w:sz w:val="24"/>
                <w:szCs w:val="24"/>
                <w:lang w:val="en-US"/>
              </w:rPr>
            </w:pPr>
            <w:r w:rsidRPr="008B0D01">
              <w:rPr>
                <w:rFonts w:ascii="Times New Roman" w:hAnsi="Times New Roman" w:cs="Times New Roman"/>
                <w:smallCaps/>
                <w:sz w:val="24"/>
                <w:szCs w:val="24"/>
                <w:lang w:val="en-US"/>
              </w:rPr>
              <w:t xml:space="preserve">MARVIN LEVIN Ph.D. </w:t>
            </w:r>
          </w:p>
          <w:p w14:paraId="0800C4C4" w14:textId="77777777" w:rsidR="003A54DC" w:rsidRPr="008B0D01" w:rsidRDefault="003A54DC" w:rsidP="00276DCF">
            <w:pPr>
              <w:spacing w:after="120"/>
              <w:jc w:val="center"/>
              <w:rPr>
                <w:rFonts w:ascii="Times New Roman" w:hAnsi="Times New Roman" w:cs="Times New Roman"/>
                <w:sz w:val="24"/>
                <w:szCs w:val="24"/>
                <w:lang w:val="en-US"/>
              </w:rPr>
            </w:pPr>
          </w:p>
          <w:p w14:paraId="20893719" w14:textId="77777777" w:rsidR="003A54DC" w:rsidRPr="008B0D01" w:rsidRDefault="003A54DC" w:rsidP="00276DCF">
            <w:pPr>
              <w:spacing w:after="120"/>
              <w:jc w:val="center"/>
              <w:rPr>
                <w:rFonts w:ascii="Times New Roman" w:hAnsi="Times New Roman" w:cs="Times New Roman"/>
                <w:sz w:val="16"/>
                <w:szCs w:val="16"/>
                <w:lang w:val="en-US"/>
              </w:rPr>
            </w:pPr>
            <w:r w:rsidRPr="008B0D01">
              <w:rPr>
                <w:rFonts w:ascii="Times New Roman" w:hAnsi="Times New Roman" w:cs="Times New Roman"/>
                <w:sz w:val="24"/>
                <w:szCs w:val="24"/>
                <w:lang w:val="en-US"/>
              </w:rPr>
              <w:t>NATALIE HOUGE</w:t>
            </w:r>
          </w:p>
          <w:p w14:paraId="4B136DC8" w14:textId="35A700B0" w:rsidR="003A54DC" w:rsidRPr="008B0D01" w:rsidRDefault="003A54DC" w:rsidP="00276DCF">
            <w:pPr>
              <w:spacing w:after="120"/>
              <w:jc w:val="center"/>
              <w:rPr>
                <w:rFonts w:ascii="Times New Roman" w:hAnsi="Times New Roman" w:cs="Times New Roman"/>
                <w:sz w:val="16"/>
                <w:szCs w:val="16"/>
                <w:lang w:val="en-US"/>
              </w:rPr>
            </w:pPr>
            <w:r w:rsidRPr="008B0D01">
              <w:rPr>
                <w:rFonts w:ascii="Times New Roman" w:hAnsi="Times New Roman" w:cs="Times New Roman"/>
                <w:sz w:val="16"/>
                <w:szCs w:val="16"/>
                <w:lang w:val="en-US"/>
              </w:rPr>
              <w:t xml:space="preserve">CLIENT RELATIONS </w:t>
            </w:r>
          </w:p>
          <w:p w14:paraId="4367783C" w14:textId="77777777" w:rsidR="003A54DC" w:rsidRPr="008B0D01" w:rsidRDefault="003A54DC" w:rsidP="00276DCF">
            <w:pPr>
              <w:spacing w:after="120"/>
              <w:jc w:val="center"/>
              <w:rPr>
                <w:rFonts w:ascii="Times New Roman" w:hAnsi="Times New Roman" w:cs="Times New Roman"/>
                <w:sz w:val="16"/>
                <w:szCs w:val="16"/>
                <w:lang w:val="en-US"/>
              </w:rPr>
            </w:pPr>
          </w:p>
          <w:p w14:paraId="737C62D2" w14:textId="77777777" w:rsidR="003A54DC" w:rsidRPr="008B0D01" w:rsidRDefault="003A54DC" w:rsidP="00276DCF">
            <w:pPr>
              <w:spacing w:after="120"/>
              <w:jc w:val="center"/>
              <w:rPr>
                <w:rFonts w:ascii="Times New Roman" w:hAnsi="Times New Roman" w:cs="Times New Roman"/>
                <w:sz w:val="16"/>
                <w:szCs w:val="16"/>
                <w:lang w:val="en-US"/>
              </w:rPr>
            </w:pPr>
            <w:r w:rsidRPr="008B0D01">
              <w:rPr>
                <w:rFonts w:ascii="Times New Roman" w:hAnsi="Times New Roman" w:cs="Times New Roman"/>
                <w:sz w:val="16"/>
                <w:szCs w:val="16"/>
                <w:lang w:val="en-US"/>
              </w:rPr>
              <w:t xml:space="preserve">INTERNET HOME PAGE: </w:t>
            </w:r>
          </w:p>
          <w:p w14:paraId="05E80801" w14:textId="77777777" w:rsidR="003A54DC" w:rsidRPr="008B0D01" w:rsidRDefault="00AE085E" w:rsidP="00276DCF">
            <w:pPr>
              <w:spacing w:after="120"/>
              <w:jc w:val="center"/>
              <w:rPr>
                <w:rFonts w:ascii="Times New Roman" w:hAnsi="Times New Roman" w:cs="Times New Roman"/>
                <w:sz w:val="16"/>
                <w:szCs w:val="16"/>
                <w:lang w:val="en-US"/>
              </w:rPr>
            </w:pPr>
            <w:hyperlink r:id="rId9" w:history="1">
              <w:r w:rsidR="003A54DC" w:rsidRPr="008B0D01">
                <w:rPr>
                  <w:rStyle w:val="Hyperlink"/>
                  <w:rFonts w:ascii="Times New Roman" w:hAnsi="Times New Roman" w:cs="Times New Roman"/>
                  <w:sz w:val="16"/>
                  <w:szCs w:val="16"/>
                  <w:lang w:val="en-US"/>
                </w:rPr>
                <w:t>WWW.JACOBLEVINLAW.COM</w:t>
              </w:r>
            </w:hyperlink>
          </w:p>
          <w:p w14:paraId="3187CFA1" w14:textId="77777777" w:rsidR="003A54DC" w:rsidRPr="008B0D01" w:rsidRDefault="00AE085E" w:rsidP="00276DCF">
            <w:pPr>
              <w:spacing w:after="120"/>
              <w:jc w:val="center"/>
              <w:rPr>
                <w:rFonts w:ascii="Times New Roman" w:hAnsi="Times New Roman" w:cs="Times New Roman"/>
                <w:sz w:val="16"/>
                <w:szCs w:val="16"/>
                <w:lang w:val="en-US"/>
              </w:rPr>
            </w:pPr>
            <w:hyperlink r:id="rId10" w:history="1">
              <w:r w:rsidR="003A54DC" w:rsidRPr="008B0D01">
                <w:rPr>
                  <w:rStyle w:val="Hyperlink"/>
                  <w:rFonts w:ascii="Times New Roman" w:hAnsi="Times New Roman" w:cs="Times New Roman"/>
                  <w:sz w:val="16"/>
                  <w:szCs w:val="16"/>
                  <w:lang w:val="en-US"/>
                </w:rPr>
                <w:t>JACOB@JACOBLEVINLAW.COM</w:t>
              </w:r>
            </w:hyperlink>
          </w:p>
          <w:p w14:paraId="42350EFB" w14:textId="77777777" w:rsidR="003A54DC" w:rsidRPr="008B0D01" w:rsidRDefault="003A54DC" w:rsidP="00276DCF">
            <w:pPr>
              <w:spacing w:after="120"/>
              <w:jc w:val="center"/>
              <w:rPr>
                <w:rFonts w:ascii="Times New Roman" w:hAnsi="Times New Roman" w:cs="Times New Roman"/>
                <w:sz w:val="18"/>
                <w:szCs w:val="18"/>
                <w:lang w:val="en-US"/>
              </w:rPr>
            </w:pPr>
          </w:p>
          <w:p w14:paraId="088C9591" w14:textId="77777777" w:rsidR="003A54DC" w:rsidRPr="008B0D01" w:rsidRDefault="003A54DC" w:rsidP="00276DCF">
            <w:pPr>
              <w:spacing w:after="120"/>
              <w:jc w:val="center"/>
              <w:rPr>
                <w:rFonts w:ascii="Times New Roman" w:hAnsi="Times New Roman" w:cs="Times New Roman"/>
                <w:sz w:val="18"/>
                <w:szCs w:val="18"/>
                <w:lang w:val="en-US"/>
              </w:rPr>
            </w:pPr>
          </w:p>
        </w:tc>
      </w:tr>
    </w:tbl>
    <w:p w14:paraId="103C9C40" w14:textId="77777777" w:rsidR="00090CE0" w:rsidRDefault="00090CE0" w:rsidP="00CD6DF1">
      <w:pPr>
        <w:spacing w:after="240" w:line="240" w:lineRule="auto"/>
        <w:ind w:right="594"/>
        <w:rPr>
          <w:rFonts w:ascii="Times New Roman" w:hAnsi="Times New Roman" w:cs="Times New Roman"/>
          <w:sz w:val="24"/>
          <w:szCs w:val="24"/>
          <w:lang w:val="en-US"/>
        </w:rPr>
      </w:pPr>
    </w:p>
    <w:p w14:paraId="3CEF2A6C" w14:textId="6CB97ED8" w:rsidR="00CD6DF1" w:rsidRPr="00CD6DF1" w:rsidRDefault="00CD6DF1" w:rsidP="00CD6DF1">
      <w:pPr>
        <w:spacing w:after="240" w:line="240" w:lineRule="auto"/>
        <w:ind w:right="594"/>
        <w:jc w:val="center"/>
        <w:rPr>
          <w:rFonts w:cstheme="minorHAnsi"/>
          <w:sz w:val="28"/>
          <w:szCs w:val="28"/>
          <w:lang w:val="en-US"/>
        </w:rPr>
      </w:pPr>
      <w:r w:rsidRPr="00CD6DF1">
        <w:rPr>
          <w:rFonts w:cstheme="minorHAnsi"/>
          <w:sz w:val="28"/>
          <w:szCs w:val="28"/>
          <w:lang w:val="en-US"/>
        </w:rPr>
        <w:t>October 12, 2023</w:t>
      </w:r>
    </w:p>
    <w:p w14:paraId="7C1A6FB2" w14:textId="77777777" w:rsidR="00CD6DF1" w:rsidRDefault="00CD6DF1" w:rsidP="00CD6DF1">
      <w:pPr>
        <w:spacing w:after="0" w:line="240" w:lineRule="auto"/>
        <w:jc w:val="center"/>
        <w:rPr>
          <w:rFonts w:cs="Times New Roman"/>
          <w:b/>
          <w:kern w:val="2"/>
          <w:sz w:val="28"/>
          <w:szCs w:val="28"/>
          <w:u w:val="single"/>
          <w:lang w:val="en-US"/>
        </w:rPr>
      </w:pPr>
      <w:r w:rsidRPr="00CD6DF1">
        <w:rPr>
          <w:rFonts w:cs="Times New Roman"/>
          <w:b/>
          <w:kern w:val="2"/>
          <w:sz w:val="28"/>
          <w:szCs w:val="28"/>
          <w:u w:val="single"/>
          <w:lang w:val="en-US"/>
        </w:rPr>
        <w:t xml:space="preserve">FOR SETTLEMENT PURPOSES ONLY- </w:t>
      </w:r>
    </w:p>
    <w:p w14:paraId="48F368E3" w14:textId="548A6127" w:rsidR="00CD6DF1" w:rsidRDefault="00CD6DF1" w:rsidP="00CD6DF1">
      <w:pPr>
        <w:spacing w:after="0" w:line="240" w:lineRule="auto"/>
        <w:jc w:val="center"/>
        <w:rPr>
          <w:rFonts w:cs="Times New Roman"/>
          <w:b/>
          <w:kern w:val="2"/>
          <w:sz w:val="28"/>
          <w:szCs w:val="28"/>
          <w:u w:val="single"/>
          <w:lang w:val="en-US"/>
        </w:rPr>
      </w:pPr>
      <w:r w:rsidRPr="00CD6DF1">
        <w:rPr>
          <w:rFonts w:cs="Times New Roman"/>
          <w:b/>
          <w:kern w:val="2"/>
          <w:sz w:val="28"/>
          <w:szCs w:val="28"/>
          <w:u w:val="single"/>
          <w:lang w:val="en-US"/>
        </w:rPr>
        <w:t>NOT TO BE USED IN ANY LEGAL PROCEEDING</w:t>
      </w:r>
    </w:p>
    <w:p w14:paraId="7B5F92EA" w14:textId="75323B84" w:rsidR="006175AE" w:rsidRPr="00CD6DF1" w:rsidRDefault="006175AE" w:rsidP="006175AE">
      <w:pPr>
        <w:spacing w:after="0" w:line="240" w:lineRule="auto"/>
        <w:rPr>
          <w:kern w:val="2"/>
          <w:sz w:val="28"/>
          <w:szCs w:val="28"/>
          <w:lang w:val="en-US"/>
        </w:rPr>
      </w:pPr>
      <w:bookmarkStart w:id="1" w:name="_GoBack"/>
      <w:bookmarkEnd w:id="1"/>
    </w:p>
    <w:p w14:paraId="6546F10F" w14:textId="54BD7A2A" w:rsidR="00CD6DF1" w:rsidRDefault="006175AE" w:rsidP="00CD6DF1">
      <w:pPr>
        <w:spacing w:after="0" w:line="240" w:lineRule="auto"/>
        <w:jc w:val="both"/>
        <w:outlineLvl w:val="3"/>
        <w:rPr>
          <w:rFonts w:eastAsia="Times New Roman" w:cstheme="minorHAnsi"/>
          <w:b/>
          <w:sz w:val="28"/>
          <w:szCs w:val="28"/>
          <w:u w:val="single"/>
          <w:lang w:val="en-US"/>
        </w:rPr>
      </w:pPr>
      <w:r w:rsidRPr="006175AE">
        <w:rPr>
          <w:rFonts w:eastAsia="Times New Roman" w:cstheme="minorHAnsi"/>
          <w:b/>
          <w:sz w:val="28"/>
          <w:szCs w:val="28"/>
          <w:u w:val="single"/>
          <w:lang w:val="en-US"/>
        </w:rPr>
        <w:t>VIA CERTIFIED MAIL RETURN RECEIPT REQUESTED</w:t>
      </w:r>
    </w:p>
    <w:p w14:paraId="04046F3C" w14:textId="77777777" w:rsidR="006175AE" w:rsidRPr="006175AE" w:rsidRDefault="006175AE" w:rsidP="00CD6DF1">
      <w:pPr>
        <w:spacing w:after="0" w:line="240" w:lineRule="auto"/>
        <w:jc w:val="both"/>
        <w:outlineLvl w:val="3"/>
        <w:rPr>
          <w:rFonts w:eastAsia="Times New Roman" w:cstheme="minorHAnsi"/>
          <w:b/>
          <w:sz w:val="28"/>
          <w:szCs w:val="28"/>
          <w:u w:val="single"/>
          <w:lang w:val="en-US"/>
        </w:rPr>
      </w:pPr>
    </w:p>
    <w:p w14:paraId="04C69B31" w14:textId="3B84809E" w:rsidR="00CD6DF1" w:rsidRPr="00CD6DF1" w:rsidRDefault="00CD6DF1" w:rsidP="00CD6DF1">
      <w:pPr>
        <w:spacing w:after="0" w:line="240" w:lineRule="auto"/>
        <w:jc w:val="both"/>
        <w:outlineLvl w:val="3"/>
        <w:rPr>
          <w:rFonts w:eastAsia="Times New Roman" w:cstheme="minorHAnsi"/>
          <w:sz w:val="28"/>
          <w:szCs w:val="28"/>
          <w:lang w:val="en-US"/>
        </w:rPr>
      </w:pPr>
      <w:r w:rsidRPr="00CD6DF1">
        <w:rPr>
          <w:rFonts w:eastAsia="Times New Roman" w:cstheme="minorHAnsi"/>
          <w:sz w:val="28"/>
          <w:szCs w:val="28"/>
          <w:lang w:val="en-US"/>
        </w:rPr>
        <w:t>Deborah H. Telman</w:t>
      </w:r>
    </w:p>
    <w:p w14:paraId="523C4E83" w14:textId="77777777" w:rsidR="00CD6DF1" w:rsidRPr="00CD6DF1" w:rsidRDefault="00CD6DF1" w:rsidP="00CD6DF1">
      <w:pPr>
        <w:spacing w:after="0" w:line="240" w:lineRule="auto"/>
        <w:jc w:val="both"/>
        <w:rPr>
          <w:rFonts w:eastAsia="Times New Roman" w:cstheme="minorHAnsi"/>
          <w:sz w:val="28"/>
          <w:szCs w:val="28"/>
          <w:lang w:val="en-US"/>
        </w:rPr>
      </w:pPr>
      <w:r w:rsidRPr="00CD6DF1">
        <w:rPr>
          <w:rFonts w:eastAsia="Times New Roman" w:cstheme="minorHAnsi"/>
          <w:b/>
          <w:bCs/>
          <w:sz w:val="28"/>
          <w:szCs w:val="28"/>
          <w:lang w:val="en-US"/>
        </w:rPr>
        <w:t>Executive Vice President, Corporate Affairs and General Counsel</w:t>
      </w:r>
    </w:p>
    <w:p w14:paraId="6E9CDBC4" w14:textId="77777777" w:rsidR="00CD6DF1" w:rsidRPr="00CD6DF1" w:rsidRDefault="00CD6DF1" w:rsidP="00CD6DF1">
      <w:pPr>
        <w:spacing w:after="0" w:line="240" w:lineRule="auto"/>
        <w:jc w:val="both"/>
        <w:rPr>
          <w:rFonts w:eastAsia="Times New Roman" w:cstheme="minorHAnsi"/>
          <w:sz w:val="28"/>
          <w:szCs w:val="28"/>
          <w:u w:val="single"/>
          <w:lang w:val="en-US"/>
        </w:rPr>
      </w:pPr>
      <w:r w:rsidRPr="00CD6DF1">
        <w:rPr>
          <w:rFonts w:eastAsia="Times New Roman" w:cstheme="minorHAnsi"/>
          <w:sz w:val="28"/>
          <w:szCs w:val="28"/>
          <w:lang w:val="en-US"/>
        </w:rPr>
        <w:t>Gilead Sciences, Inc.</w:t>
      </w:r>
    </w:p>
    <w:p w14:paraId="12A7E8CA" w14:textId="77777777" w:rsidR="00CD6DF1" w:rsidRPr="00CD6DF1" w:rsidRDefault="00CD6DF1" w:rsidP="00CD6DF1">
      <w:pPr>
        <w:spacing w:after="0" w:line="240" w:lineRule="auto"/>
        <w:jc w:val="both"/>
        <w:rPr>
          <w:rFonts w:eastAsia="Times New Roman" w:cstheme="minorHAnsi"/>
          <w:sz w:val="28"/>
          <w:szCs w:val="28"/>
          <w:lang w:val="en-US"/>
        </w:rPr>
      </w:pPr>
      <w:r w:rsidRPr="00CD6DF1">
        <w:rPr>
          <w:rFonts w:eastAsia="Times New Roman" w:cstheme="minorHAnsi"/>
          <w:sz w:val="28"/>
          <w:szCs w:val="28"/>
          <w:lang w:val="en-US"/>
        </w:rPr>
        <w:t>333 Lakeside Drive</w:t>
      </w:r>
    </w:p>
    <w:p w14:paraId="4E9A4727" w14:textId="77777777" w:rsidR="00CD6DF1" w:rsidRPr="00CD6DF1" w:rsidRDefault="00CD6DF1" w:rsidP="00CD6DF1">
      <w:pPr>
        <w:spacing w:after="0" w:line="240" w:lineRule="auto"/>
        <w:jc w:val="both"/>
        <w:rPr>
          <w:rFonts w:eastAsia="Times New Roman" w:cstheme="minorHAnsi"/>
          <w:sz w:val="28"/>
          <w:szCs w:val="28"/>
          <w:lang w:val="en-US"/>
        </w:rPr>
      </w:pPr>
      <w:r w:rsidRPr="00CD6DF1">
        <w:rPr>
          <w:rFonts w:eastAsia="Times New Roman" w:cstheme="minorHAnsi"/>
          <w:sz w:val="28"/>
          <w:szCs w:val="28"/>
          <w:lang w:val="en-US"/>
        </w:rPr>
        <w:t>Foster City, CA 94404</w:t>
      </w:r>
    </w:p>
    <w:p w14:paraId="0FA87EBC" w14:textId="77777777" w:rsidR="00CD6DF1" w:rsidRPr="00CD6DF1" w:rsidRDefault="00CD6DF1" w:rsidP="00CD6DF1">
      <w:pPr>
        <w:jc w:val="both"/>
        <w:rPr>
          <w:kern w:val="2"/>
          <w:sz w:val="28"/>
          <w:szCs w:val="28"/>
          <w:lang w:val="en-US"/>
        </w:rPr>
      </w:pPr>
      <w:r w:rsidRPr="00CD6DF1">
        <w:rPr>
          <w:kern w:val="2"/>
          <w:sz w:val="28"/>
          <w:szCs w:val="28"/>
          <w:lang w:val="en-US"/>
        </w:rPr>
        <w:br/>
        <w:t>Dear Ms. Telman,</w:t>
      </w:r>
    </w:p>
    <w:p w14:paraId="4E12A46C" w14:textId="77777777" w:rsidR="00CD6DF1" w:rsidRPr="00CD6DF1" w:rsidRDefault="00CD6DF1" w:rsidP="00CD6DF1">
      <w:pPr>
        <w:jc w:val="both"/>
        <w:rPr>
          <w:kern w:val="2"/>
          <w:sz w:val="28"/>
          <w:szCs w:val="28"/>
          <w:lang w:val="en-US"/>
        </w:rPr>
      </w:pPr>
      <w:r w:rsidRPr="00CD6DF1">
        <w:rPr>
          <w:kern w:val="2"/>
          <w:sz w:val="28"/>
          <w:szCs w:val="28"/>
          <w:lang w:val="en-US"/>
        </w:rPr>
        <w:t xml:space="preserve">We urge you, on humanitarian as well as legal grounds, to promptly remove </w:t>
      </w:r>
      <w:proofErr w:type="spellStart"/>
      <w:r w:rsidRPr="00CD6DF1">
        <w:rPr>
          <w:kern w:val="2"/>
          <w:sz w:val="28"/>
          <w:szCs w:val="28"/>
          <w:lang w:val="en-US"/>
        </w:rPr>
        <w:t>Remdesivir</w:t>
      </w:r>
      <w:proofErr w:type="spellEnd"/>
      <w:r w:rsidRPr="00CD6DF1">
        <w:rPr>
          <w:kern w:val="2"/>
          <w:sz w:val="28"/>
          <w:szCs w:val="28"/>
          <w:lang w:val="en-US"/>
        </w:rPr>
        <w:t>/</w:t>
      </w:r>
      <w:proofErr w:type="spellStart"/>
      <w:r w:rsidRPr="00CD6DF1">
        <w:rPr>
          <w:kern w:val="2"/>
          <w:sz w:val="28"/>
          <w:szCs w:val="28"/>
          <w:lang w:val="en-US"/>
        </w:rPr>
        <w:t>Veklury</w:t>
      </w:r>
      <w:proofErr w:type="spellEnd"/>
      <w:r w:rsidRPr="00CD6DF1">
        <w:rPr>
          <w:kern w:val="2"/>
          <w:sz w:val="28"/>
          <w:szCs w:val="28"/>
          <w:lang w:val="en-US"/>
        </w:rPr>
        <w:t xml:space="preserve">, (including this drug under any other given name as distributed by Gilead or another pharmaceutical company), from the consumer marketplace. The devastating impact of the aforementioned drug, manufactured in collaboration with Gilead’s subcontractor </w:t>
      </w:r>
      <w:r w:rsidRPr="00CD6DF1">
        <w:rPr>
          <w:b/>
          <w:kern w:val="2"/>
          <w:sz w:val="28"/>
          <w:szCs w:val="28"/>
          <w:lang w:val="en-US"/>
        </w:rPr>
        <w:t>Pfizer, Inc.,</w:t>
      </w:r>
      <w:r w:rsidRPr="00CD6DF1">
        <w:rPr>
          <w:kern w:val="2"/>
          <w:sz w:val="28"/>
          <w:szCs w:val="28"/>
          <w:lang w:val="en-US"/>
        </w:rPr>
        <w:t xml:space="preserve"> can be witnessed through numerous </w:t>
      </w:r>
      <w:r w:rsidRPr="00CD6DF1">
        <w:rPr>
          <w:kern w:val="2"/>
          <w:sz w:val="28"/>
          <w:szCs w:val="28"/>
          <w:lang w:val="en-US"/>
        </w:rPr>
        <w:lastRenderedPageBreak/>
        <w:t>firsthand accounts shared by widows, next of kin, and survivors on various websites.</w:t>
      </w:r>
      <w:r w:rsidRPr="00CD6DF1">
        <w:rPr>
          <w:kern w:val="2"/>
          <w:sz w:val="28"/>
          <w:szCs w:val="28"/>
          <w:vertAlign w:val="superscript"/>
          <w:lang w:val="en-US"/>
        </w:rPr>
        <w:footnoteReference w:id="1"/>
      </w:r>
      <w:r w:rsidRPr="00CD6DF1">
        <w:rPr>
          <w:kern w:val="2"/>
          <w:sz w:val="28"/>
          <w:szCs w:val="28"/>
          <w:lang w:val="en-US"/>
        </w:rPr>
        <w:t xml:space="preserve"> </w:t>
      </w:r>
    </w:p>
    <w:p w14:paraId="3C3AB0EE" w14:textId="77777777" w:rsidR="00CD6DF1" w:rsidRPr="00CD6DF1" w:rsidRDefault="00CD6DF1" w:rsidP="00CD6DF1">
      <w:pPr>
        <w:jc w:val="both"/>
        <w:rPr>
          <w:kern w:val="2"/>
          <w:sz w:val="28"/>
          <w:szCs w:val="28"/>
          <w:lang w:val="en-US"/>
        </w:rPr>
      </w:pPr>
      <w:r w:rsidRPr="00CD6DF1">
        <w:rPr>
          <w:kern w:val="2"/>
          <w:sz w:val="28"/>
          <w:szCs w:val="28"/>
          <w:lang w:val="en-US"/>
        </w:rPr>
        <w:t xml:space="preserve">To support the advocacy efforts against Remdesivir (or any other alternatively named drug of the same or similar formulation), many are choosing to contribute funds and receive medical alert bracelets, providing protection against the harmful effects of your drug. For further information regarding the bracelets please visit </w:t>
      </w:r>
      <w:hyperlink r:id="rId11" w:history="1">
        <w:r w:rsidRPr="00CD6DF1">
          <w:rPr>
            <w:color w:val="0563C1" w:themeColor="hyperlink"/>
            <w:kern w:val="2"/>
            <w:sz w:val="28"/>
            <w:szCs w:val="28"/>
            <w:u w:val="single"/>
            <w:lang w:val="en-US"/>
          </w:rPr>
          <w:t>https://formerfedsgroup.org/shop/medic-alert-bracelets/bracelet/</w:t>
        </w:r>
      </w:hyperlink>
      <w:r w:rsidRPr="00CD6DF1">
        <w:rPr>
          <w:color w:val="0563C1" w:themeColor="hyperlink"/>
          <w:kern w:val="2"/>
          <w:sz w:val="28"/>
          <w:szCs w:val="28"/>
          <w:u w:val="single"/>
          <w:lang w:val="en-US"/>
        </w:rPr>
        <w:t xml:space="preserve"> .</w:t>
      </w:r>
    </w:p>
    <w:p w14:paraId="32A2714E" w14:textId="77777777" w:rsidR="00CD6DF1" w:rsidRPr="00CD6DF1" w:rsidRDefault="00CD6DF1" w:rsidP="00CD6DF1">
      <w:pPr>
        <w:jc w:val="both"/>
        <w:rPr>
          <w:kern w:val="2"/>
          <w:sz w:val="28"/>
          <w:szCs w:val="28"/>
          <w:lang w:val="en-US"/>
        </w:rPr>
      </w:pPr>
      <w:r w:rsidRPr="00CD6DF1">
        <w:rPr>
          <w:kern w:val="2"/>
          <w:sz w:val="28"/>
          <w:szCs w:val="28"/>
          <w:lang w:val="en-US"/>
        </w:rPr>
        <w:t>We are reaching out to you following our petition for injunctive relief pursuant to the Consumer Legal Remedies Act,</w:t>
      </w:r>
      <w:r w:rsidRPr="00CD6DF1">
        <w:rPr>
          <w:b/>
          <w:bCs/>
          <w:kern w:val="2"/>
          <w:lang w:val="en-US"/>
        </w:rPr>
        <w:t xml:space="preserve"> </w:t>
      </w:r>
      <w:r w:rsidRPr="00CD6DF1">
        <w:rPr>
          <w:bCs/>
          <w:i/>
          <w:kern w:val="2"/>
          <w:sz w:val="28"/>
          <w:szCs w:val="28"/>
          <w:lang w:val="en-US"/>
        </w:rPr>
        <w:t>Cal. Civ. Code §§ 1750 et</w:t>
      </w:r>
      <w:r w:rsidRPr="00CD6DF1">
        <w:rPr>
          <w:i/>
          <w:kern w:val="2"/>
          <w:sz w:val="28"/>
          <w:szCs w:val="28"/>
          <w:lang w:val="en-US"/>
        </w:rPr>
        <w:t xml:space="preserve"> seq.</w:t>
      </w:r>
      <w:r w:rsidRPr="00CD6DF1">
        <w:rPr>
          <w:kern w:val="2"/>
          <w:sz w:val="28"/>
          <w:szCs w:val="28"/>
          <w:lang w:val="en-US"/>
        </w:rPr>
        <w:t xml:space="preserve">, filed on September 27, 2023, in order to address serious concerns related to recent consumer transactions involving Gilead Sciences, Inc. ("Gilead"). </w:t>
      </w:r>
    </w:p>
    <w:p w14:paraId="1CE184D2" w14:textId="77777777" w:rsidR="00CD6DF1" w:rsidRPr="00CD6DF1" w:rsidRDefault="00CD6DF1" w:rsidP="00CD6DF1">
      <w:pPr>
        <w:jc w:val="both"/>
        <w:rPr>
          <w:kern w:val="2"/>
          <w:sz w:val="28"/>
          <w:szCs w:val="28"/>
          <w:lang w:val="en-US"/>
        </w:rPr>
      </w:pPr>
      <w:r w:rsidRPr="00CD6DF1">
        <w:rPr>
          <w:b/>
          <w:bCs/>
          <w:i/>
          <w:kern w:val="2"/>
          <w:sz w:val="28"/>
          <w:szCs w:val="28"/>
          <w:lang w:val="en-US"/>
        </w:rPr>
        <w:t>California Code, Civil Code - CIV § 1782 (d)</w:t>
      </w:r>
      <w:r w:rsidRPr="00CD6DF1">
        <w:rPr>
          <w:b/>
          <w:bCs/>
          <w:color w:val="4D4D4D"/>
          <w:kern w:val="2"/>
          <w:sz w:val="28"/>
          <w:szCs w:val="28"/>
          <w:lang w:val="en-US"/>
        </w:rPr>
        <w:t xml:space="preserve"> </w:t>
      </w:r>
      <w:r w:rsidRPr="00CD6DF1">
        <w:rPr>
          <w:kern w:val="2"/>
          <w:sz w:val="28"/>
          <w:szCs w:val="28"/>
          <w:lang w:val="en-US"/>
        </w:rPr>
        <w:t>states as follows:</w:t>
      </w:r>
    </w:p>
    <w:p w14:paraId="12B12AB5" w14:textId="77777777" w:rsidR="00CD6DF1" w:rsidRPr="00CD6DF1" w:rsidRDefault="00CD6DF1" w:rsidP="00CD6DF1">
      <w:pPr>
        <w:shd w:val="clear" w:color="auto" w:fill="FFFFFF"/>
        <w:ind w:left="720"/>
        <w:jc w:val="both"/>
        <w:rPr>
          <w:rFonts w:cs="Arial"/>
          <w:i/>
          <w:color w:val="222222"/>
          <w:kern w:val="2"/>
          <w:sz w:val="28"/>
          <w:szCs w:val="28"/>
          <w:lang w:val="en-US"/>
        </w:rPr>
      </w:pPr>
      <w:r w:rsidRPr="00CD6DF1">
        <w:rPr>
          <w:rFonts w:cs="Arial"/>
          <w:i/>
          <w:color w:val="222222"/>
          <w:kern w:val="2"/>
          <w:sz w:val="28"/>
          <w:szCs w:val="28"/>
          <w:lang w:val="en-US"/>
        </w:rPr>
        <w:t xml:space="preserve">(d) An action for </w:t>
      </w:r>
      <w:r w:rsidRPr="00CD6DF1">
        <w:rPr>
          <w:rFonts w:cs="Arial"/>
          <w:b/>
          <w:i/>
          <w:color w:val="222222"/>
          <w:kern w:val="2"/>
          <w:sz w:val="28"/>
          <w:szCs w:val="28"/>
          <w:lang w:val="en-US"/>
        </w:rPr>
        <w:t>injunctive relief</w:t>
      </w:r>
      <w:r w:rsidRPr="00CD6DF1">
        <w:rPr>
          <w:rFonts w:cs="Arial"/>
          <w:i/>
          <w:color w:val="222222"/>
          <w:kern w:val="2"/>
          <w:sz w:val="28"/>
          <w:szCs w:val="28"/>
          <w:lang w:val="en-US"/>
        </w:rPr>
        <w:t xml:space="preserve"> brought under the specific provisions of Section 1770 may be commenced without compliance with subdivision (a). </w:t>
      </w:r>
      <w:r w:rsidRPr="00CD6DF1">
        <w:rPr>
          <w:rFonts w:cs="Arial"/>
          <w:b/>
          <w:i/>
          <w:color w:val="222222"/>
          <w:kern w:val="2"/>
          <w:sz w:val="28"/>
          <w:szCs w:val="28"/>
          <w:lang w:val="en-US"/>
        </w:rPr>
        <w:t>Not less than 30 days after the commencement of an action for injunctive relief, and after compliance with subdivision (a), the consumer may amend his or her complaint without leave of court to include a request for</w:t>
      </w:r>
      <w:r w:rsidRPr="00CD6DF1">
        <w:rPr>
          <w:rFonts w:cs="Arial"/>
          <w:i/>
          <w:color w:val="222222"/>
          <w:kern w:val="2"/>
          <w:sz w:val="28"/>
          <w:szCs w:val="28"/>
          <w:lang w:val="en-US"/>
        </w:rPr>
        <w:t xml:space="preserve"> </w:t>
      </w:r>
      <w:r w:rsidRPr="00CD6DF1">
        <w:rPr>
          <w:rFonts w:cs="Arial"/>
          <w:b/>
          <w:i/>
          <w:color w:val="222222"/>
          <w:kern w:val="2"/>
          <w:sz w:val="28"/>
          <w:szCs w:val="28"/>
          <w:lang w:val="en-US"/>
        </w:rPr>
        <w:t>damages.</w:t>
      </w:r>
      <w:r w:rsidRPr="00CD6DF1">
        <w:rPr>
          <w:rFonts w:cs="Arial"/>
          <w:i/>
          <w:color w:val="222222"/>
          <w:kern w:val="2"/>
          <w:sz w:val="28"/>
          <w:szCs w:val="28"/>
          <w:lang w:val="en-US"/>
        </w:rPr>
        <w:t xml:space="preserve"> The appropriate provisions of subdivision (b) or (c) shall be applicable if the complaint for injunctive relief is amended to request damages.</w:t>
      </w:r>
    </w:p>
    <w:p w14:paraId="31C020FF" w14:textId="77777777" w:rsidR="00CD6DF1" w:rsidRPr="00CD6DF1" w:rsidRDefault="00CD6DF1" w:rsidP="00CD6DF1">
      <w:pPr>
        <w:jc w:val="both"/>
        <w:rPr>
          <w:kern w:val="2"/>
          <w:sz w:val="28"/>
          <w:szCs w:val="28"/>
          <w:lang w:val="en-US"/>
        </w:rPr>
      </w:pPr>
      <w:r w:rsidRPr="00CD6DF1">
        <w:rPr>
          <w:kern w:val="2"/>
          <w:sz w:val="28"/>
          <w:szCs w:val="28"/>
          <w:lang w:val="en-US"/>
        </w:rPr>
        <w:t xml:space="preserve">Thus, in accordance with the procedural requirements mandated by </w:t>
      </w:r>
      <w:r w:rsidRPr="00CD6DF1">
        <w:rPr>
          <w:b/>
          <w:bCs/>
          <w:i/>
          <w:kern w:val="2"/>
          <w:sz w:val="28"/>
          <w:szCs w:val="28"/>
          <w:lang w:val="en-US"/>
        </w:rPr>
        <w:t>CIV § 1782 (d)</w:t>
      </w:r>
      <w:r w:rsidRPr="00CD6DF1">
        <w:rPr>
          <w:i/>
          <w:kern w:val="2"/>
          <w:sz w:val="28"/>
          <w:szCs w:val="28"/>
          <w:lang w:val="en-US"/>
        </w:rPr>
        <w:t xml:space="preserve"> </w:t>
      </w:r>
      <w:r w:rsidRPr="00CD6DF1">
        <w:rPr>
          <w:kern w:val="2"/>
          <w:sz w:val="28"/>
          <w:szCs w:val="28"/>
          <w:lang w:val="en-US"/>
        </w:rPr>
        <w:t>of the Consumer Legal Remedies Act (CLRA)</w:t>
      </w:r>
      <w:r w:rsidRPr="00CD6DF1">
        <w:rPr>
          <w:i/>
          <w:kern w:val="2"/>
          <w:sz w:val="28"/>
          <w:szCs w:val="28"/>
          <w:lang w:val="en-US"/>
        </w:rPr>
        <w:t>,</w:t>
      </w:r>
      <w:r w:rsidRPr="00CD6DF1">
        <w:rPr>
          <w:kern w:val="2"/>
          <w:sz w:val="28"/>
          <w:szCs w:val="28"/>
          <w:lang w:val="en-US"/>
        </w:rPr>
        <w:t xml:space="preserve"> we hereby timely comply and serve this Demand Letter on Gilead.  </w:t>
      </w:r>
    </w:p>
    <w:p w14:paraId="32BE95CD" w14:textId="77777777" w:rsidR="00CD6DF1" w:rsidRPr="00CD6DF1" w:rsidRDefault="00CD6DF1" w:rsidP="00CD6DF1">
      <w:pPr>
        <w:jc w:val="both"/>
        <w:rPr>
          <w:kern w:val="2"/>
          <w:sz w:val="28"/>
          <w:szCs w:val="28"/>
          <w:lang w:val="en-US"/>
        </w:rPr>
      </w:pPr>
      <w:r w:rsidRPr="00CD6DF1">
        <w:rPr>
          <w:kern w:val="2"/>
          <w:sz w:val="28"/>
          <w:szCs w:val="28"/>
          <w:lang w:val="en-US"/>
        </w:rPr>
        <w:t xml:space="preserve">Specifically, we are alarmed by the administration of </w:t>
      </w:r>
      <w:proofErr w:type="spellStart"/>
      <w:r w:rsidRPr="00CD6DF1">
        <w:rPr>
          <w:kern w:val="2"/>
          <w:sz w:val="28"/>
          <w:szCs w:val="28"/>
          <w:lang w:val="en-US"/>
        </w:rPr>
        <w:t>Remdesivir</w:t>
      </w:r>
      <w:proofErr w:type="spellEnd"/>
      <w:r w:rsidRPr="00CD6DF1">
        <w:rPr>
          <w:kern w:val="2"/>
          <w:sz w:val="28"/>
          <w:szCs w:val="28"/>
          <w:lang w:val="en-US"/>
        </w:rPr>
        <w:t xml:space="preserve"> a/k/a “</w:t>
      </w:r>
      <w:proofErr w:type="spellStart"/>
      <w:r w:rsidRPr="00CD6DF1">
        <w:rPr>
          <w:kern w:val="2"/>
          <w:sz w:val="28"/>
          <w:szCs w:val="28"/>
          <w:lang w:val="en-US"/>
        </w:rPr>
        <w:t>Veklury</w:t>
      </w:r>
      <w:proofErr w:type="spellEnd"/>
      <w:r w:rsidRPr="00CD6DF1">
        <w:rPr>
          <w:kern w:val="2"/>
          <w:sz w:val="28"/>
          <w:szCs w:val="28"/>
          <w:lang w:val="en-US"/>
        </w:rPr>
        <w:t>” (“</w:t>
      </w:r>
      <w:proofErr w:type="spellStart"/>
      <w:r w:rsidRPr="00CD6DF1">
        <w:rPr>
          <w:kern w:val="2"/>
          <w:sz w:val="28"/>
          <w:szCs w:val="28"/>
          <w:lang w:val="en-US"/>
        </w:rPr>
        <w:t>Remdesivir</w:t>
      </w:r>
      <w:proofErr w:type="spellEnd"/>
      <w:r w:rsidRPr="00CD6DF1">
        <w:rPr>
          <w:kern w:val="2"/>
          <w:sz w:val="28"/>
          <w:szCs w:val="28"/>
          <w:lang w:val="en-US"/>
        </w:rPr>
        <w:t xml:space="preserve">”) to DEBORAH FUST’S husband, MICHAEL FUST, and to EDWARD PIMENTEL. We demand immediate redress on behalf of MICHAEL FUST and </w:t>
      </w:r>
      <w:r w:rsidRPr="00CD6DF1">
        <w:rPr>
          <w:kern w:val="2"/>
          <w:sz w:val="28"/>
          <w:szCs w:val="28"/>
          <w:lang w:val="en-US"/>
        </w:rPr>
        <w:lastRenderedPageBreak/>
        <w:t xml:space="preserve">EDWARD PIMENTEL pursuant to the provisions of the CLRA as outlined in the </w:t>
      </w:r>
      <w:r w:rsidRPr="00CD6DF1">
        <w:rPr>
          <w:i/>
          <w:kern w:val="2"/>
          <w:sz w:val="28"/>
          <w:szCs w:val="28"/>
          <w:lang w:val="en-US"/>
        </w:rPr>
        <w:t>California Civil Code, particularly in Division 3, Part 4, Title 1.5, Chapter 4.</w:t>
      </w:r>
    </w:p>
    <w:p w14:paraId="5485B808" w14:textId="77777777" w:rsidR="00CD6DF1" w:rsidRPr="00CD6DF1" w:rsidRDefault="00CD6DF1" w:rsidP="00CD6DF1">
      <w:pPr>
        <w:jc w:val="both"/>
        <w:rPr>
          <w:kern w:val="2"/>
          <w:sz w:val="28"/>
          <w:szCs w:val="28"/>
          <w:lang w:val="en-US"/>
        </w:rPr>
      </w:pPr>
      <w:r w:rsidRPr="00CD6DF1">
        <w:rPr>
          <w:kern w:val="2"/>
          <w:sz w:val="28"/>
          <w:szCs w:val="28"/>
          <w:lang w:val="en-US"/>
        </w:rPr>
        <w:t xml:space="preserve">On August 13, 2021, EDWARD PIMENTEL was admitted to Mercy Medical Center, an affiliate hospital of Dignity Health, whereby a consumer transaction took place, documented in files we intend to obtain through discovery. Remdesivir, a drug manufactured by Gilead Sciences, Inc. in collaboration with its subcontractor, Pfizer, Inc., was administered to Mr. Pimentel in five doses. It has come to our attention that Gilead violated multiple provisions of the Consumers Legal Remedies Act, as outlined in </w:t>
      </w:r>
      <w:r w:rsidRPr="00CD6DF1">
        <w:rPr>
          <w:i/>
          <w:kern w:val="2"/>
          <w:sz w:val="28"/>
          <w:szCs w:val="28"/>
          <w:lang w:val="en-US"/>
        </w:rPr>
        <w:t>California Civil Code sections 1750 et seq</w:t>
      </w:r>
      <w:r w:rsidRPr="00CD6DF1">
        <w:rPr>
          <w:kern w:val="2"/>
          <w:sz w:val="28"/>
          <w:szCs w:val="28"/>
          <w:lang w:val="en-US"/>
        </w:rPr>
        <w:t>. Despite surviving the treatment, Mr. Pimentel continues to suffer from severe injuries caused by Remdesivir, directly due to Gilead’s overt misrepresentations to him regarding the drug.</w:t>
      </w:r>
    </w:p>
    <w:p w14:paraId="28F1ED97" w14:textId="77777777" w:rsidR="00CD6DF1" w:rsidRPr="00CD6DF1" w:rsidRDefault="00CD6DF1" w:rsidP="00CD6DF1">
      <w:pPr>
        <w:jc w:val="both"/>
        <w:rPr>
          <w:kern w:val="2"/>
          <w:sz w:val="28"/>
          <w:szCs w:val="28"/>
          <w:lang w:val="en-US"/>
        </w:rPr>
      </w:pPr>
      <w:r w:rsidRPr="00CD6DF1">
        <w:rPr>
          <w:kern w:val="2"/>
          <w:sz w:val="28"/>
          <w:szCs w:val="28"/>
          <w:lang w:val="en-US"/>
        </w:rPr>
        <w:t xml:space="preserve">Similarly, on October 27, 2021, MICHAEL FUST was admitted to Shasta Regional Medical Center, whereby a similar consumer transaction occurred, documented in files we intend to obtain through discovery. Remdesivir, a Gilead product manufactured in collaboration with its subcontractor, Pfizer Inc., was likewise administered to Mr. Fust in five doses. It has come to our attention that Gilead violated several provisions of the Consumers Legal Remedies Act, as outlined in </w:t>
      </w:r>
      <w:r w:rsidRPr="00CD6DF1">
        <w:rPr>
          <w:i/>
          <w:kern w:val="2"/>
          <w:sz w:val="28"/>
          <w:szCs w:val="28"/>
          <w:lang w:val="en-US"/>
        </w:rPr>
        <w:t>California Civil Code sections 1750 et seq</w:t>
      </w:r>
      <w:r w:rsidRPr="00CD6DF1">
        <w:rPr>
          <w:kern w:val="2"/>
          <w:sz w:val="28"/>
          <w:szCs w:val="28"/>
          <w:lang w:val="en-US"/>
        </w:rPr>
        <w:t>. Unfortunately, Mr. Fust did not survive the treatment, leaving behind his beloved wife and children, likewise due to Gilead’s misrepresentations of the drug to him.</w:t>
      </w:r>
    </w:p>
    <w:p w14:paraId="643475CC" w14:textId="77777777" w:rsidR="00CD6DF1" w:rsidRPr="00CD6DF1" w:rsidRDefault="00CD6DF1" w:rsidP="00CD6DF1">
      <w:pPr>
        <w:jc w:val="both"/>
        <w:rPr>
          <w:kern w:val="2"/>
          <w:sz w:val="28"/>
          <w:szCs w:val="28"/>
          <w:lang w:val="en-US"/>
        </w:rPr>
      </w:pPr>
      <w:r w:rsidRPr="00CD6DF1">
        <w:rPr>
          <w:kern w:val="2"/>
          <w:sz w:val="28"/>
          <w:szCs w:val="28"/>
          <w:lang w:val="en-US"/>
        </w:rPr>
        <w:t>The specific violations of the CLRA pled in the subject Complaint include, but are not limited to, the following:</w:t>
      </w:r>
    </w:p>
    <w:p w14:paraId="4B97F8F0" w14:textId="77777777" w:rsidR="00CD6DF1" w:rsidRPr="00CD6DF1" w:rsidRDefault="00CD6DF1" w:rsidP="00CD6DF1">
      <w:pPr>
        <w:jc w:val="both"/>
        <w:rPr>
          <w:kern w:val="2"/>
          <w:sz w:val="28"/>
          <w:szCs w:val="28"/>
          <w:lang w:val="en-US"/>
        </w:rPr>
      </w:pPr>
      <w:r w:rsidRPr="00CD6DF1">
        <w:rPr>
          <w:b/>
          <w:kern w:val="2"/>
          <w:sz w:val="28"/>
          <w:szCs w:val="28"/>
          <w:lang w:val="en-US"/>
        </w:rPr>
        <w:t>Unfair and Deceptive Practices:</w:t>
      </w:r>
    </w:p>
    <w:p w14:paraId="2035E342" w14:textId="77777777" w:rsidR="00CD6DF1" w:rsidRPr="00CD6DF1" w:rsidRDefault="00CD6DF1" w:rsidP="00CD6DF1">
      <w:pPr>
        <w:jc w:val="both"/>
        <w:rPr>
          <w:kern w:val="2"/>
          <w:sz w:val="28"/>
          <w:szCs w:val="28"/>
          <w:lang w:val="en-US"/>
        </w:rPr>
      </w:pPr>
      <w:r w:rsidRPr="00CD6DF1">
        <w:rPr>
          <w:kern w:val="2"/>
          <w:sz w:val="28"/>
          <w:szCs w:val="28"/>
          <w:lang w:val="en-US"/>
        </w:rPr>
        <w:t>Gilead engaged in deceptive practices by marketing Remdesivir as safe and effective, withholding crucial information about adverse events. This omission nullified informed consent and misled patients such as Edward Pimentel and Michael Fust, resulting in their harm and suffering or death.</w:t>
      </w:r>
    </w:p>
    <w:p w14:paraId="14056836" w14:textId="77777777" w:rsidR="000B3F27" w:rsidRDefault="000B3F27" w:rsidP="00CD6DF1">
      <w:pPr>
        <w:jc w:val="both"/>
        <w:rPr>
          <w:b/>
          <w:kern w:val="2"/>
          <w:sz w:val="28"/>
          <w:szCs w:val="28"/>
          <w:lang w:val="en-US"/>
        </w:rPr>
      </w:pPr>
    </w:p>
    <w:p w14:paraId="55C9B143" w14:textId="77777777" w:rsidR="000B3F27" w:rsidRDefault="000B3F27" w:rsidP="00CD6DF1">
      <w:pPr>
        <w:jc w:val="both"/>
        <w:rPr>
          <w:b/>
          <w:kern w:val="2"/>
          <w:sz w:val="28"/>
          <w:szCs w:val="28"/>
          <w:lang w:val="en-US"/>
        </w:rPr>
      </w:pPr>
    </w:p>
    <w:p w14:paraId="4E5C2D2C" w14:textId="2E7B932B" w:rsidR="00CD6DF1" w:rsidRPr="00CD6DF1" w:rsidRDefault="00CD6DF1" w:rsidP="00CD6DF1">
      <w:pPr>
        <w:jc w:val="both"/>
        <w:rPr>
          <w:b/>
          <w:kern w:val="2"/>
          <w:sz w:val="28"/>
          <w:szCs w:val="28"/>
          <w:lang w:val="en-US"/>
        </w:rPr>
      </w:pPr>
      <w:r w:rsidRPr="00CD6DF1">
        <w:rPr>
          <w:b/>
          <w:kern w:val="2"/>
          <w:sz w:val="28"/>
          <w:szCs w:val="28"/>
          <w:lang w:val="en-US"/>
        </w:rPr>
        <w:lastRenderedPageBreak/>
        <w:t>False Advertising:</w:t>
      </w:r>
    </w:p>
    <w:p w14:paraId="413DD4CA" w14:textId="46C28F45" w:rsidR="00CD6DF1" w:rsidRPr="00CD6DF1" w:rsidRDefault="00CD6DF1" w:rsidP="00CD6DF1">
      <w:pPr>
        <w:jc w:val="both"/>
        <w:rPr>
          <w:rFonts w:ascii="Calibri" w:hAnsi="Calibri"/>
          <w:color w:val="000000"/>
          <w:kern w:val="2"/>
          <w:lang w:val="en-US"/>
        </w:rPr>
      </w:pPr>
      <w:r w:rsidRPr="00CD6DF1">
        <w:rPr>
          <w:rFonts w:ascii="Calibri" w:hAnsi="Calibri"/>
          <w:color w:val="000000"/>
          <w:kern w:val="2"/>
          <w:sz w:val="28"/>
          <w:szCs w:val="28"/>
          <w:shd w:val="clear" w:color="auto" w:fill="FFFFFF"/>
          <w:lang w:val="en-US"/>
        </w:rPr>
        <w:t>Gilead exaggerated Remdesivir's benefits and downplayed its risks in marketing materials, deceiving medical professionals and patients alike, including Edward Pimentel and Michael Fust. There are many clinical trials, case studies and </w:t>
      </w:r>
      <w:r w:rsidRPr="00CD6DF1">
        <w:rPr>
          <w:rFonts w:ascii="Calibri" w:hAnsi="Calibri"/>
          <w:kern w:val="2"/>
          <w:sz w:val="28"/>
          <w:szCs w:val="28"/>
          <w:shd w:val="clear" w:color="auto" w:fill="FFFFFF"/>
          <w:lang w:val="en-US"/>
        </w:rPr>
        <w:t>post-marketing </w:t>
      </w:r>
      <w:r w:rsidRPr="00CD6DF1">
        <w:rPr>
          <w:rFonts w:ascii="Calibri" w:hAnsi="Calibri"/>
          <w:color w:val="000000"/>
          <w:kern w:val="2"/>
          <w:sz w:val="28"/>
          <w:szCs w:val="28"/>
          <w:shd w:val="clear" w:color="auto" w:fill="FFFFFF"/>
          <w:lang w:val="en-US"/>
        </w:rPr>
        <w:t>pharmacovigilance data sets that demonstrate the toxicity of Remdesivir. Acute kidney injury, liver impairment</w:t>
      </w:r>
      <w:r w:rsidR="000B3F27">
        <w:rPr>
          <w:rFonts w:ascii="Calibri" w:hAnsi="Calibri"/>
          <w:color w:val="000000"/>
          <w:kern w:val="2"/>
          <w:sz w:val="28"/>
          <w:szCs w:val="28"/>
          <w:shd w:val="clear" w:color="auto" w:fill="FFFFFF"/>
          <w:lang w:val="en-US"/>
        </w:rPr>
        <w:t>,</w:t>
      </w:r>
      <w:r w:rsidRPr="00CD6DF1">
        <w:rPr>
          <w:rFonts w:ascii="Calibri" w:hAnsi="Calibri"/>
          <w:color w:val="000000"/>
          <w:kern w:val="2"/>
          <w:sz w:val="28"/>
          <w:szCs w:val="28"/>
          <w:shd w:val="clear" w:color="auto" w:fill="FFFFFF"/>
          <w:lang w:val="en-US"/>
        </w:rPr>
        <w:t xml:space="preserve"> and multiple organ failure are only some of the documented adverse reactions reported in the peer-reviewed literature. </w:t>
      </w:r>
      <w:r w:rsidRPr="00CD6DF1">
        <w:rPr>
          <w:rFonts w:ascii="Calibri" w:hAnsi="Calibri"/>
          <w:kern w:val="2"/>
          <w:sz w:val="28"/>
          <w:szCs w:val="28"/>
          <w:shd w:val="clear" w:color="auto" w:fill="FFFFFF"/>
          <w:lang w:val="en-US"/>
        </w:rPr>
        <w:t>The signal of potential harm was abundantly clear. As noted by a distinguished team of French researchers: “Compared with three common drugs used in COVID-19 and unexpected to be significantly nephrotoxic, remdesivir appears to be associated with an ~ 20-fold increased risk of ARF [acute renal failure] reporting.”</w:t>
      </w:r>
      <w:r>
        <w:rPr>
          <w:rStyle w:val="FootnoteReference"/>
          <w:rFonts w:ascii="Calibri" w:hAnsi="Calibri"/>
          <w:kern w:val="2"/>
          <w:sz w:val="28"/>
          <w:szCs w:val="28"/>
          <w:shd w:val="clear" w:color="auto" w:fill="FFFFFF"/>
          <w:lang w:val="en-US"/>
        </w:rPr>
        <w:footnoteReference w:id="2"/>
      </w:r>
      <w:r w:rsidRPr="00CD6DF1">
        <w:rPr>
          <w:rFonts w:ascii="Calibri" w:hAnsi="Calibri"/>
          <w:kern w:val="2"/>
          <w:sz w:val="28"/>
          <w:szCs w:val="28"/>
          <w:shd w:val="clear" w:color="auto" w:fill="FFFFFF"/>
          <w:lang w:val="en-US"/>
        </w:rPr>
        <w:t> </w:t>
      </w:r>
      <w:r>
        <w:rPr>
          <w:rFonts w:ascii="Calibri" w:hAnsi="Calibri"/>
          <w:kern w:val="2"/>
          <w:sz w:val="28"/>
          <w:szCs w:val="28"/>
          <w:shd w:val="clear" w:color="auto" w:fill="FFFFFF"/>
          <w:lang w:val="en-US"/>
        </w:rPr>
        <w:t xml:space="preserve"> (The result was actually corrected to </w:t>
      </w:r>
      <w:r w:rsidR="000B3F27">
        <w:rPr>
          <w:rFonts w:ascii="Calibri" w:hAnsi="Calibri"/>
          <w:kern w:val="2"/>
          <w:sz w:val="28"/>
          <w:szCs w:val="28"/>
          <w:shd w:val="clear" w:color="auto" w:fill="FFFFFF"/>
          <w:lang w:val="en-US"/>
        </w:rPr>
        <w:t>30-fold</w:t>
      </w:r>
      <w:r>
        <w:rPr>
          <w:rFonts w:ascii="Calibri" w:hAnsi="Calibri"/>
          <w:kern w:val="2"/>
          <w:sz w:val="28"/>
          <w:szCs w:val="28"/>
          <w:shd w:val="clear" w:color="auto" w:fill="FFFFFF"/>
          <w:lang w:val="en-US"/>
        </w:rPr>
        <w:t xml:space="preserve"> in April 2022</w:t>
      </w:r>
      <w:r>
        <w:rPr>
          <w:rStyle w:val="FootnoteReference"/>
          <w:rFonts w:ascii="Calibri" w:hAnsi="Calibri"/>
          <w:kern w:val="2"/>
          <w:sz w:val="28"/>
          <w:szCs w:val="28"/>
          <w:shd w:val="clear" w:color="auto" w:fill="FFFFFF"/>
          <w:lang w:val="en-US"/>
        </w:rPr>
        <w:footnoteReference w:id="3"/>
      </w:r>
      <w:r>
        <w:rPr>
          <w:rFonts w:ascii="Calibri" w:hAnsi="Calibri"/>
          <w:kern w:val="2"/>
          <w:sz w:val="28"/>
          <w:szCs w:val="28"/>
          <w:shd w:val="clear" w:color="auto" w:fill="FFFFFF"/>
          <w:lang w:val="en-US"/>
        </w:rPr>
        <w:t>)</w:t>
      </w:r>
    </w:p>
    <w:p w14:paraId="7C19211F" w14:textId="51DC3860" w:rsidR="00CD6DF1" w:rsidRPr="00CD6DF1" w:rsidRDefault="00CD6DF1" w:rsidP="00CD6DF1">
      <w:pPr>
        <w:jc w:val="both"/>
        <w:rPr>
          <w:b/>
          <w:kern w:val="2"/>
          <w:sz w:val="28"/>
          <w:szCs w:val="28"/>
          <w:lang w:val="en-US"/>
        </w:rPr>
      </w:pPr>
      <w:r w:rsidRPr="00CD6DF1">
        <w:rPr>
          <w:kern w:val="2"/>
          <w:sz w:val="28"/>
          <w:szCs w:val="28"/>
          <w:lang w:val="en-US"/>
        </w:rPr>
        <w:t xml:space="preserve">Therefore, and upon information and belief, Gilead clearly knew or should have known about the potential harm. However, it omitted this material information in its advertising (and other </w:t>
      </w:r>
      <w:r w:rsidR="000B3F27">
        <w:rPr>
          <w:kern w:val="2"/>
          <w:sz w:val="28"/>
          <w:szCs w:val="28"/>
          <w:lang w:val="en-US"/>
        </w:rPr>
        <w:t>public-facing</w:t>
      </w:r>
      <w:r w:rsidRPr="00CD6DF1">
        <w:rPr>
          <w:kern w:val="2"/>
          <w:sz w:val="28"/>
          <w:szCs w:val="28"/>
          <w:lang w:val="en-US"/>
        </w:rPr>
        <w:t xml:space="preserve"> releases) and continued to promote Remdesivir as safe and effective, notwithstanding, and in reckless indifference to Plaintiffs. Notably, Remdesivir costs Gilead at most $10 per dose to manufacture; yet a </w:t>
      </w:r>
      <w:r w:rsidRPr="00CD6DF1">
        <w:rPr>
          <w:b/>
          <w:kern w:val="2"/>
          <w:sz w:val="28"/>
          <w:szCs w:val="28"/>
          <w:lang w:val="en-US"/>
        </w:rPr>
        <w:t>minimum</w:t>
      </w:r>
      <w:r w:rsidRPr="00CD6DF1">
        <w:rPr>
          <w:kern w:val="2"/>
          <w:sz w:val="28"/>
          <w:szCs w:val="28"/>
          <w:lang w:val="en-US"/>
        </w:rPr>
        <w:t xml:space="preserve"> of $3100 is charged to the patient for a course of Remdesivir.</w:t>
      </w:r>
    </w:p>
    <w:p w14:paraId="6B1896FF" w14:textId="77777777" w:rsidR="00CD6DF1" w:rsidRPr="00CD6DF1" w:rsidRDefault="00CD6DF1" w:rsidP="00CD6DF1">
      <w:pPr>
        <w:jc w:val="both"/>
        <w:rPr>
          <w:b/>
          <w:kern w:val="2"/>
          <w:sz w:val="28"/>
          <w:szCs w:val="28"/>
          <w:lang w:val="en-US"/>
        </w:rPr>
      </w:pPr>
      <w:r w:rsidRPr="00CD6DF1">
        <w:rPr>
          <w:b/>
          <w:kern w:val="2"/>
          <w:sz w:val="28"/>
          <w:szCs w:val="28"/>
          <w:lang w:val="en-US"/>
        </w:rPr>
        <w:t>Failure to Disclose:</w:t>
      </w:r>
    </w:p>
    <w:p w14:paraId="2965B4D7" w14:textId="25963B3A" w:rsidR="00CD6DF1" w:rsidRPr="00CD6DF1" w:rsidRDefault="00CD6DF1" w:rsidP="00CD6DF1">
      <w:pPr>
        <w:jc w:val="both"/>
        <w:rPr>
          <w:kern w:val="2"/>
          <w:sz w:val="28"/>
          <w:szCs w:val="28"/>
          <w:lang w:val="en-US"/>
        </w:rPr>
      </w:pPr>
      <w:r w:rsidRPr="00CD6DF1">
        <w:rPr>
          <w:kern w:val="2"/>
          <w:sz w:val="28"/>
          <w:szCs w:val="28"/>
          <w:lang w:val="en-US"/>
        </w:rPr>
        <w:t xml:space="preserve">Critical information regarding Remdesivir, such as its potential side effects per the </w:t>
      </w:r>
      <w:r w:rsidR="000B3F27">
        <w:rPr>
          <w:kern w:val="2"/>
          <w:sz w:val="28"/>
          <w:szCs w:val="28"/>
          <w:lang w:val="en-US"/>
        </w:rPr>
        <w:t>above-documented</w:t>
      </w:r>
      <w:r w:rsidRPr="00CD6DF1">
        <w:rPr>
          <w:kern w:val="2"/>
          <w:sz w:val="28"/>
          <w:szCs w:val="28"/>
          <w:lang w:val="en-US"/>
        </w:rPr>
        <w:t xml:space="preserve"> trial results leading to conditions such as kidney failure, </w:t>
      </w:r>
      <w:r w:rsidRPr="00CD6DF1">
        <w:rPr>
          <w:b/>
          <w:kern w:val="2"/>
          <w:sz w:val="28"/>
          <w:szCs w:val="28"/>
          <w:lang w:val="en-US"/>
        </w:rPr>
        <w:t>was not disclosed by Gilead</w:t>
      </w:r>
      <w:r w:rsidRPr="00CD6DF1">
        <w:rPr>
          <w:kern w:val="2"/>
          <w:sz w:val="28"/>
          <w:szCs w:val="28"/>
          <w:lang w:val="en-US"/>
        </w:rPr>
        <w:t xml:space="preserve"> </w:t>
      </w:r>
      <w:r w:rsidRPr="00CD6DF1">
        <w:rPr>
          <w:b/>
          <w:kern w:val="2"/>
          <w:sz w:val="28"/>
          <w:szCs w:val="28"/>
          <w:lang w:val="en-US"/>
        </w:rPr>
        <w:t>to consumers</w:t>
      </w:r>
      <w:r w:rsidRPr="00CD6DF1">
        <w:rPr>
          <w:kern w:val="2"/>
          <w:sz w:val="28"/>
          <w:szCs w:val="28"/>
          <w:lang w:val="en-US"/>
        </w:rPr>
        <w:t>, constituting a material omission in the transactions.</w:t>
      </w:r>
    </w:p>
    <w:p w14:paraId="3DD76DDA" w14:textId="77777777" w:rsidR="00CD6DF1" w:rsidRPr="00CD6DF1" w:rsidRDefault="00CD6DF1" w:rsidP="00CD6DF1">
      <w:pPr>
        <w:jc w:val="both"/>
        <w:rPr>
          <w:kern w:val="2"/>
          <w:sz w:val="28"/>
          <w:szCs w:val="28"/>
          <w:lang w:val="en-US"/>
        </w:rPr>
      </w:pPr>
      <w:r w:rsidRPr="00CD6DF1">
        <w:rPr>
          <w:kern w:val="2"/>
          <w:sz w:val="28"/>
          <w:szCs w:val="28"/>
          <w:lang w:val="en-US"/>
        </w:rPr>
        <w:t xml:space="preserve">These aforementioned violations flagrantly breach the CLRA. Therefore, Plaintiffs hereby demand immediate rectification. Pursuant to </w:t>
      </w:r>
      <w:r w:rsidRPr="00CD6DF1">
        <w:rPr>
          <w:i/>
          <w:kern w:val="2"/>
          <w:sz w:val="28"/>
          <w:szCs w:val="28"/>
          <w:lang w:val="en-US"/>
        </w:rPr>
        <w:t>California Civil Code section 1782</w:t>
      </w:r>
      <w:r w:rsidRPr="00CD6DF1">
        <w:rPr>
          <w:kern w:val="2"/>
          <w:sz w:val="28"/>
          <w:szCs w:val="28"/>
          <w:lang w:val="en-US"/>
        </w:rPr>
        <w:t xml:space="preserve">, Gilead must disgorge all funds acquired through government channels, insurers, third-party payers, or directly from affected individuals within </w:t>
      </w:r>
      <w:r w:rsidRPr="00CD6DF1">
        <w:rPr>
          <w:b/>
          <w:kern w:val="2"/>
          <w:sz w:val="28"/>
          <w:szCs w:val="28"/>
          <w:lang w:val="en-US"/>
        </w:rPr>
        <w:t>thirty</w:t>
      </w:r>
      <w:r w:rsidRPr="00CD6DF1">
        <w:rPr>
          <w:kern w:val="2"/>
          <w:sz w:val="28"/>
          <w:szCs w:val="28"/>
          <w:lang w:val="en-US"/>
        </w:rPr>
        <w:t xml:space="preserve"> </w:t>
      </w:r>
      <w:r w:rsidRPr="00CD6DF1">
        <w:rPr>
          <w:b/>
          <w:kern w:val="2"/>
          <w:sz w:val="28"/>
          <w:szCs w:val="28"/>
          <w:lang w:val="en-US"/>
        </w:rPr>
        <w:t>(30)</w:t>
      </w:r>
      <w:r w:rsidRPr="00CD6DF1">
        <w:rPr>
          <w:kern w:val="2"/>
          <w:sz w:val="28"/>
          <w:szCs w:val="28"/>
          <w:lang w:val="en-US"/>
        </w:rPr>
        <w:t xml:space="preserve"> days from the date of this letter. Failure to comply will necessitate an amended </w:t>
      </w:r>
      <w:r w:rsidRPr="00CD6DF1">
        <w:rPr>
          <w:kern w:val="2"/>
          <w:sz w:val="28"/>
          <w:szCs w:val="28"/>
          <w:lang w:val="en-US"/>
        </w:rPr>
        <w:lastRenderedPageBreak/>
        <w:t>complaint seeking comprehensive legal remedies pursuant to the CLRA in addition to the previously pled injunctive relief.</w:t>
      </w:r>
    </w:p>
    <w:p w14:paraId="0C9E248E" w14:textId="7694D45F" w:rsidR="00CD6DF1" w:rsidRPr="00CD6DF1" w:rsidRDefault="00CD6DF1" w:rsidP="00CD6DF1">
      <w:pPr>
        <w:jc w:val="both"/>
        <w:rPr>
          <w:b/>
          <w:kern w:val="2"/>
          <w:sz w:val="28"/>
          <w:szCs w:val="28"/>
          <w:lang w:val="en-US"/>
        </w:rPr>
      </w:pPr>
      <w:r w:rsidRPr="00CD6DF1">
        <w:rPr>
          <w:b/>
          <w:kern w:val="2"/>
          <w:sz w:val="28"/>
          <w:szCs w:val="28"/>
          <w:lang w:val="en-US"/>
        </w:rPr>
        <w:t>Demand for Response:</w:t>
      </w:r>
    </w:p>
    <w:p w14:paraId="29ED25B1" w14:textId="77777777" w:rsidR="00CD6DF1" w:rsidRPr="00CD6DF1" w:rsidRDefault="00CD6DF1" w:rsidP="00CD6DF1">
      <w:pPr>
        <w:jc w:val="both"/>
        <w:rPr>
          <w:kern w:val="2"/>
          <w:sz w:val="28"/>
          <w:szCs w:val="28"/>
          <w:lang w:val="en-US"/>
        </w:rPr>
      </w:pPr>
      <w:r w:rsidRPr="00CD6DF1">
        <w:rPr>
          <w:kern w:val="2"/>
          <w:sz w:val="28"/>
          <w:szCs w:val="28"/>
          <w:lang w:val="en-US"/>
        </w:rPr>
        <w:t xml:space="preserve">We kindly request a written response within </w:t>
      </w:r>
      <w:r w:rsidRPr="00CD6DF1">
        <w:rPr>
          <w:b/>
          <w:kern w:val="2"/>
          <w:sz w:val="28"/>
          <w:szCs w:val="28"/>
          <w:lang w:val="en-US"/>
        </w:rPr>
        <w:t>fifteen (15)</w:t>
      </w:r>
      <w:r w:rsidRPr="00CD6DF1">
        <w:rPr>
          <w:kern w:val="2"/>
          <w:sz w:val="28"/>
          <w:szCs w:val="28"/>
          <w:lang w:val="en-US"/>
        </w:rPr>
        <w:t xml:space="preserve"> days of receiving this letter, confirming Gilead Sciences, Inc.'s commitment to resolving this matter in compliance with the CLRA. Please contact the undersigned via email for further discussion or to provide pertinent details about the resolution.</w:t>
      </w:r>
    </w:p>
    <w:p w14:paraId="09CBC36E" w14:textId="77777777" w:rsidR="00CD6DF1" w:rsidRPr="00CD6DF1" w:rsidRDefault="00CD6DF1" w:rsidP="00CD6DF1">
      <w:pPr>
        <w:jc w:val="both"/>
        <w:rPr>
          <w:kern w:val="2"/>
          <w:sz w:val="28"/>
          <w:szCs w:val="28"/>
          <w:lang w:val="en-US"/>
        </w:rPr>
      </w:pPr>
      <w:r w:rsidRPr="00CD6DF1">
        <w:rPr>
          <w:kern w:val="2"/>
          <w:sz w:val="28"/>
          <w:szCs w:val="28"/>
          <w:lang w:val="en-US"/>
        </w:rPr>
        <w:t>This letter represents a final opportunity for amicable resolution before escalating the legal proceedings in progress. We anticipate your prompt attention and look forward to your timely response.</w:t>
      </w:r>
    </w:p>
    <w:p w14:paraId="69151B6A" w14:textId="77777777" w:rsidR="00CD6DF1" w:rsidRPr="00CD6DF1" w:rsidRDefault="00CD6DF1" w:rsidP="00CD6DF1">
      <w:pPr>
        <w:ind w:left="2880" w:firstLine="720"/>
        <w:jc w:val="both"/>
        <w:rPr>
          <w:kern w:val="2"/>
          <w:sz w:val="28"/>
          <w:szCs w:val="28"/>
          <w:lang w:val="en-US"/>
        </w:rPr>
      </w:pPr>
      <w:r w:rsidRPr="00CD6DF1">
        <w:rPr>
          <w:kern w:val="2"/>
          <w:sz w:val="28"/>
          <w:szCs w:val="28"/>
          <w:lang w:val="en-US"/>
        </w:rPr>
        <w:t>Sincerely,</w:t>
      </w:r>
    </w:p>
    <w:p w14:paraId="77AB1C32" w14:textId="530A4B26" w:rsidR="00CD6DF1" w:rsidRPr="00005D56" w:rsidRDefault="00CD6DF1" w:rsidP="00005D56">
      <w:pPr>
        <w:spacing w:after="0"/>
        <w:ind w:left="2880" w:firstLine="720"/>
        <w:jc w:val="both"/>
        <w:rPr>
          <w:b/>
          <w:bCs/>
          <w:i/>
          <w:iCs/>
          <w:kern w:val="2"/>
          <w:sz w:val="28"/>
          <w:szCs w:val="28"/>
          <w:lang w:val="en-US"/>
        </w:rPr>
      </w:pPr>
      <w:r w:rsidRPr="00005D56">
        <w:rPr>
          <w:b/>
          <w:bCs/>
          <w:i/>
          <w:iCs/>
          <w:kern w:val="2"/>
          <w:sz w:val="28"/>
          <w:szCs w:val="28"/>
          <w:lang w:val="en-US"/>
        </w:rPr>
        <w:t>The Legal Team</w:t>
      </w:r>
    </w:p>
    <w:p w14:paraId="3D0C271B" w14:textId="4C9FCF0F" w:rsidR="00005D56" w:rsidRDefault="00005D56" w:rsidP="00005D56">
      <w:pPr>
        <w:spacing w:after="0" w:line="240" w:lineRule="auto"/>
        <w:ind w:left="2880" w:firstLine="720"/>
        <w:jc w:val="both"/>
        <w:rPr>
          <w:kern w:val="2"/>
          <w:sz w:val="28"/>
          <w:szCs w:val="28"/>
          <w:lang w:val="en-US"/>
        </w:rPr>
      </w:pPr>
      <w:r>
        <w:rPr>
          <w:kern w:val="2"/>
          <w:sz w:val="28"/>
          <w:szCs w:val="28"/>
          <w:lang w:val="en-US"/>
        </w:rPr>
        <w:t>Jacob Levin, Esq.</w:t>
      </w:r>
    </w:p>
    <w:p w14:paraId="45F7E923" w14:textId="0993B843" w:rsidR="00005D56" w:rsidRDefault="00005D56" w:rsidP="00005D56">
      <w:pPr>
        <w:spacing w:after="0" w:line="240" w:lineRule="auto"/>
        <w:ind w:left="2880" w:firstLine="720"/>
        <w:jc w:val="both"/>
        <w:rPr>
          <w:kern w:val="2"/>
          <w:sz w:val="28"/>
          <w:szCs w:val="28"/>
          <w:lang w:val="en-US"/>
        </w:rPr>
      </w:pPr>
      <w:r>
        <w:rPr>
          <w:kern w:val="2"/>
          <w:sz w:val="28"/>
          <w:szCs w:val="28"/>
          <w:lang w:val="en-US"/>
        </w:rPr>
        <w:t>Bradford L. Geyer, Esq.</w:t>
      </w:r>
    </w:p>
    <w:p w14:paraId="25A14F3E" w14:textId="77777777" w:rsidR="00005D56" w:rsidRPr="00CD6DF1" w:rsidRDefault="00005D56" w:rsidP="00005D56">
      <w:pPr>
        <w:spacing w:after="0" w:line="240" w:lineRule="auto"/>
        <w:ind w:left="2880" w:firstLine="720"/>
        <w:contextualSpacing/>
        <w:rPr>
          <w:rFonts w:eastAsiaTheme="minorEastAsia"/>
          <w:sz w:val="28"/>
          <w:szCs w:val="28"/>
          <w:lang w:val="en-US" w:eastAsia="ja-JP"/>
        </w:rPr>
      </w:pPr>
      <w:r w:rsidRPr="00CD6DF1">
        <w:rPr>
          <w:rFonts w:eastAsiaTheme="minorEastAsia"/>
          <w:sz w:val="28"/>
          <w:szCs w:val="28"/>
          <w:lang w:val="en-US" w:eastAsia="ja-JP"/>
        </w:rPr>
        <w:t>Melissa Anne Jacobs, Esq.</w:t>
      </w:r>
    </w:p>
    <w:p w14:paraId="485D503C" w14:textId="77777777" w:rsidR="00005D56" w:rsidRDefault="00005D56" w:rsidP="00005D56">
      <w:pPr>
        <w:spacing w:after="0" w:line="240" w:lineRule="auto"/>
        <w:ind w:left="2880" w:firstLine="720"/>
        <w:contextualSpacing/>
        <w:rPr>
          <w:rFonts w:eastAsiaTheme="minorEastAsia"/>
          <w:sz w:val="28"/>
          <w:szCs w:val="28"/>
          <w:lang w:val="en-US" w:eastAsia="ja-JP"/>
        </w:rPr>
      </w:pPr>
      <w:r w:rsidRPr="00CD6DF1">
        <w:rPr>
          <w:rFonts w:eastAsiaTheme="minorEastAsia"/>
          <w:sz w:val="28"/>
          <w:szCs w:val="28"/>
          <w:lang w:val="en-US" w:eastAsia="ja-JP"/>
        </w:rPr>
        <w:t>David A. Dalia, Esq.</w:t>
      </w:r>
    </w:p>
    <w:p w14:paraId="1612C13A" w14:textId="730037CD" w:rsidR="00005D56" w:rsidRDefault="00005D56" w:rsidP="00005D56">
      <w:pPr>
        <w:spacing w:after="0" w:line="240" w:lineRule="auto"/>
        <w:ind w:left="2880" w:firstLine="720"/>
        <w:contextualSpacing/>
        <w:rPr>
          <w:rFonts w:eastAsiaTheme="minorEastAsia"/>
          <w:sz w:val="28"/>
          <w:szCs w:val="28"/>
          <w:lang w:val="en-US" w:eastAsia="ja-JP"/>
        </w:rPr>
      </w:pPr>
      <w:r>
        <w:rPr>
          <w:rFonts w:eastAsiaTheme="minorEastAsia"/>
          <w:sz w:val="28"/>
          <w:szCs w:val="28"/>
          <w:lang w:val="en-US" w:eastAsia="ja-JP"/>
        </w:rPr>
        <w:t>Jamie Scher, Esq.</w:t>
      </w:r>
    </w:p>
    <w:p w14:paraId="70E2EAD6" w14:textId="5C000AB4" w:rsidR="00005D56" w:rsidRPr="00CD6DF1" w:rsidRDefault="00005D56" w:rsidP="00005D56">
      <w:pPr>
        <w:spacing w:after="0" w:line="240" w:lineRule="auto"/>
        <w:ind w:left="2880" w:firstLine="720"/>
        <w:contextualSpacing/>
        <w:rPr>
          <w:rFonts w:eastAsiaTheme="minorEastAsia"/>
          <w:sz w:val="28"/>
          <w:szCs w:val="28"/>
          <w:lang w:val="en-US" w:eastAsia="ja-JP"/>
        </w:rPr>
      </w:pPr>
      <w:r>
        <w:rPr>
          <w:rFonts w:eastAsiaTheme="minorEastAsia"/>
          <w:sz w:val="28"/>
          <w:szCs w:val="28"/>
          <w:lang w:val="en-US" w:eastAsia="ja-JP"/>
        </w:rPr>
        <w:t xml:space="preserve">Stephen Scher, Esq. </w:t>
      </w:r>
    </w:p>
    <w:p w14:paraId="62F02449" w14:textId="77777777" w:rsidR="000B3F27" w:rsidRDefault="000B3F27" w:rsidP="00CD6DF1">
      <w:pPr>
        <w:spacing w:after="0" w:line="240" w:lineRule="auto"/>
        <w:contextualSpacing/>
        <w:rPr>
          <w:rFonts w:eastAsiaTheme="minorEastAsia"/>
          <w:sz w:val="24"/>
          <w:szCs w:val="24"/>
          <w:lang w:val="en-US" w:eastAsia="ja-JP"/>
        </w:rPr>
      </w:pPr>
    </w:p>
    <w:p w14:paraId="2D75CE6E" w14:textId="7C805956" w:rsidR="00005D56" w:rsidRPr="000B3F27" w:rsidRDefault="00005D56" w:rsidP="00CD6DF1">
      <w:pPr>
        <w:spacing w:after="0" w:line="240" w:lineRule="auto"/>
        <w:contextualSpacing/>
        <w:rPr>
          <w:rFonts w:eastAsiaTheme="minorEastAsia"/>
          <w:sz w:val="24"/>
          <w:szCs w:val="24"/>
          <w:lang w:val="en-US" w:eastAsia="ja-JP"/>
        </w:rPr>
      </w:pPr>
      <w:r w:rsidRPr="000B3F27">
        <w:rPr>
          <w:rFonts w:eastAsiaTheme="minorEastAsia"/>
          <w:sz w:val="24"/>
          <w:szCs w:val="24"/>
          <w:lang w:val="en-US" w:eastAsia="ja-JP"/>
        </w:rPr>
        <w:t>Contact Information:</w:t>
      </w:r>
    </w:p>
    <w:p w14:paraId="31818D83" w14:textId="77777777" w:rsidR="00005D56" w:rsidRPr="000B3F27" w:rsidRDefault="00005D56" w:rsidP="00CD6DF1">
      <w:pPr>
        <w:spacing w:after="0" w:line="240" w:lineRule="auto"/>
        <w:contextualSpacing/>
        <w:rPr>
          <w:rFonts w:eastAsiaTheme="minorEastAsia"/>
          <w:sz w:val="24"/>
          <w:szCs w:val="24"/>
          <w:lang w:val="en-US" w:eastAsia="ja-JP"/>
        </w:rPr>
      </w:pPr>
    </w:p>
    <w:p w14:paraId="7A65948F" w14:textId="2E8897B4" w:rsidR="00CD6DF1" w:rsidRPr="00CD6DF1" w:rsidRDefault="00CD6DF1" w:rsidP="00CD6DF1">
      <w:pPr>
        <w:spacing w:after="0" w:line="240" w:lineRule="auto"/>
        <w:contextualSpacing/>
        <w:rPr>
          <w:rFonts w:eastAsiaTheme="minorEastAsia"/>
          <w:sz w:val="24"/>
          <w:szCs w:val="24"/>
          <w:lang w:val="en-US" w:eastAsia="ja-JP"/>
        </w:rPr>
      </w:pPr>
      <w:r w:rsidRPr="00CD6DF1">
        <w:rPr>
          <w:rFonts w:eastAsiaTheme="minorEastAsia"/>
          <w:sz w:val="24"/>
          <w:szCs w:val="24"/>
          <w:lang w:val="en-US" w:eastAsia="ja-JP"/>
        </w:rPr>
        <w:t>Jacob Levin Esq. (SBN 333724)</w:t>
      </w:r>
    </w:p>
    <w:p w14:paraId="26012F75" w14:textId="77777777" w:rsidR="00CD6DF1" w:rsidRPr="00CD6DF1" w:rsidRDefault="00CD6DF1" w:rsidP="00CD6DF1">
      <w:pPr>
        <w:spacing w:after="0" w:line="240" w:lineRule="auto"/>
        <w:contextualSpacing/>
        <w:rPr>
          <w:rFonts w:eastAsiaTheme="minorEastAsia"/>
          <w:sz w:val="24"/>
          <w:szCs w:val="24"/>
          <w:lang w:val="en-US" w:eastAsia="ja-JP"/>
        </w:rPr>
      </w:pPr>
      <w:r w:rsidRPr="00CD6DF1">
        <w:rPr>
          <w:rFonts w:eastAsiaTheme="minorEastAsia"/>
          <w:sz w:val="24"/>
          <w:szCs w:val="24"/>
          <w:lang w:val="en-US" w:eastAsia="ja-JP"/>
        </w:rPr>
        <w:t xml:space="preserve">Jacob Levin Law </w:t>
      </w:r>
    </w:p>
    <w:p w14:paraId="16865893" w14:textId="77777777" w:rsidR="00CD6DF1" w:rsidRPr="00CD6DF1" w:rsidRDefault="00CD6DF1" w:rsidP="00CD6DF1">
      <w:pPr>
        <w:spacing w:after="0" w:line="240" w:lineRule="auto"/>
        <w:contextualSpacing/>
        <w:rPr>
          <w:rFonts w:eastAsiaTheme="minorEastAsia"/>
          <w:sz w:val="24"/>
          <w:szCs w:val="24"/>
          <w:lang w:val="en-US" w:eastAsia="ja-JP"/>
        </w:rPr>
      </w:pPr>
      <w:r w:rsidRPr="00CD6DF1">
        <w:rPr>
          <w:rFonts w:eastAsiaTheme="minorEastAsia"/>
          <w:sz w:val="24"/>
          <w:szCs w:val="24"/>
          <w:lang w:val="en-US" w:eastAsia="ja-JP"/>
        </w:rPr>
        <w:t>1308 Placer Street</w:t>
      </w:r>
    </w:p>
    <w:p w14:paraId="3B00B44D" w14:textId="77777777" w:rsidR="00CD6DF1" w:rsidRPr="00CD6DF1" w:rsidRDefault="00CD6DF1" w:rsidP="00CD6DF1">
      <w:pPr>
        <w:spacing w:after="0" w:line="240" w:lineRule="auto"/>
        <w:contextualSpacing/>
        <w:rPr>
          <w:rFonts w:eastAsiaTheme="minorEastAsia"/>
          <w:sz w:val="24"/>
          <w:szCs w:val="24"/>
          <w:lang w:val="en-US" w:eastAsia="ja-JP"/>
        </w:rPr>
      </w:pPr>
      <w:r w:rsidRPr="00CD6DF1">
        <w:rPr>
          <w:rFonts w:eastAsiaTheme="minorEastAsia"/>
          <w:sz w:val="24"/>
          <w:szCs w:val="24"/>
          <w:lang w:val="en-US" w:eastAsia="ja-JP"/>
        </w:rPr>
        <w:t xml:space="preserve">Redding, CA 96001 </w:t>
      </w:r>
    </w:p>
    <w:p w14:paraId="2511D0F4" w14:textId="77777777" w:rsidR="00CD6DF1" w:rsidRPr="00CD6DF1" w:rsidRDefault="00CD6DF1" w:rsidP="00CD6DF1">
      <w:pPr>
        <w:spacing w:after="0" w:line="240" w:lineRule="auto"/>
        <w:contextualSpacing/>
        <w:rPr>
          <w:rFonts w:eastAsiaTheme="minorEastAsia"/>
          <w:sz w:val="24"/>
          <w:szCs w:val="24"/>
          <w:lang w:val="en-US" w:eastAsia="ja-JP"/>
        </w:rPr>
      </w:pPr>
      <w:r w:rsidRPr="00CD6DF1">
        <w:rPr>
          <w:rFonts w:eastAsiaTheme="minorEastAsia"/>
          <w:sz w:val="24"/>
          <w:szCs w:val="24"/>
          <w:lang w:val="en-US" w:eastAsia="ja-JP"/>
        </w:rPr>
        <w:t xml:space="preserve">Email: </w:t>
      </w:r>
      <w:hyperlink r:id="rId12" w:history="1">
        <w:r w:rsidRPr="00CD6DF1">
          <w:rPr>
            <w:rFonts w:eastAsiaTheme="minorEastAsia"/>
            <w:color w:val="0563C1" w:themeColor="hyperlink"/>
            <w:sz w:val="24"/>
            <w:szCs w:val="24"/>
            <w:u w:val="single"/>
            <w:lang w:val="en-US" w:eastAsia="ja-JP"/>
          </w:rPr>
          <w:t>jacob@jacoblevinlaw.com</w:t>
        </w:r>
      </w:hyperlink>
      <w:r w:rsidRPr="00CD6DF1">
        <w:rPr>
          <w:rFonts w:eastAsiaTheme="minorEastAsia"/>
          <w:sz w:val="24"/>
          <w:szCs w:val="24"/>
          <w:lang w:val="en-US" w:eastAsia="ja-JP"/>
        </w:rPr>
        <w:t xml:space="preserve"> </w:t>
      </w:r>
    </w:p>
    <w:p w14:paraId="3789F875" w14:textId="77777777" w:rsidR="00CD6DF1" w:rsidRPr="00CD6DF1" w:rsidRDefault="00CD6DF1" w:rsidP="00CD6DF1">
      <w:pPr>
        <w:spacing w:after="0" w:line="240" w:lineRule="auto"/>
        <w:contextualSpacing/>
        <w:rPr>
          <w:rFonts w:eastAsiaTheme="minorEastAsia"/>
          <w:sz w:val="24"/>
          <w:szCs w:val="24"/>
          <w:lang w:val="en-US" w:eastAsia="ja-JP"/>
        </w:rPr>
      </w:pPr>
      <w:r w:rsidRPr="00CD6DF1">
        <w:rPr>
          <w:rFonts w:eastAsiaTheme="minorEastAsia"/>
          <w:sz w:val="24"/>
          <w:szCs w:val="24"/>
          <w:lang w:val="en-US" w:eastAsia="ja-JP"/>
        </w:rPr>
        <w:t>T: 530-248-2700</w:t>
      </w:r>
    </w:p>
    <w:p w14:paraId="430D75D9" w14:textId="77777777" w:rsidR="00CD6DF1" w:rsidRPr="00CD6DF1" w:rsidRDefault="00CD6DF1" w:rsidP="00CD6DF1">
      <w:pPr>
        <w:spacing w:after="0" w:line="240" w:lineRule="auto"/>
        <w:contextualSpacing/>
        <w:rPr>
          <w:rFonts w:eastAsiaTheme="minorEastAsia"/>
          <w:sz w:val="24"/>
          <w:szCs w:val="24"/>
          <w:lang w:val="en-US" w:eastAsia="ja-JP"/>
        </w:rPr>
      </w:pPr>
      <w:r w:rsidRPr="00CD6DF1">
        <w:rPr>
          <w:rFonts w:eastAsiaTheme="minorEastAsia"/>
          <w:sz w:val="24"/>
          <w:szCs w:val="24"/>
          <w:lang w:val="en-US" w:eastAsia="ja-JP"/>
        </w:rPr>
        <w:t>F: 530-248-2701</w:t>
      </w:r>
    </w:p>
    <w:p w14:paraId="5DAA933A" w14:textId="77777777" w:rsidR="00CD6DF1" w:rsidRPr="00CD6DF1" w:rsidRDefault="00CD6DF1" w:rsidP="00CD6DF1">
      <w:pPr>
        <w:spacing w:after="0" w:line="240" w:lineRule="auto"/>
        <w:contextualSpacing/>
        <w:rPr>
          <w:rFonts w:eastAsiaTheme="minorEastAsia"/>
          <w:sz w:val="24"/>
          <w:szCs w:val="24"/>
          <w:lang w:val="en-US" w:eastAsia="ja-JP"/>
        </w:rPr>
      </w:pPr>
    </w:p>
    <w:p w14:paraId="73DEFE45" w14:textId="14761942" w:rsidR="00CD6DF1" w:rsidRPr="00CD6DF1" w:rsidRDefault="00CD6DF1" w:rsidP="00CD6DF1">
      <w:pPr>
        <w:spacing w:after="0" w:line="240" w:lineRule="auto"/>
        <w:contextualSpacing/>
        <w:rPr>
          <w:rFonts w:eastAsiaTheme="minorEastAsia"/>
          <w:sz w:val="24"/>
          <w:szCs w:val="24"/>
          <w:lang w:val="en-US" w:eastAsia="ja-JP"/>
        </w:rPr>
      </w:pPr>
      <w:r w:rsidRPr="00CD6DF1">
        <w:rPr>
          <w:rFonts w:eastAsiaTheme="minorEastAsia"/>
          <w:sz w:val="24"/>
          <w:szCs w:val="24"/>
          <w:lang w:val="en-US" w:eastAsia="ja-JP"/>
        </w:rPr>
        <w:t>Bradford L. Geyer, Esq.</w:t>
      </w:r>
    </w:p>
    <w:p w14:paraId="4CCD93FA" w14:textId="77777777" w:rsidR="00CD6DF1" w:rsidRPr="00CD6DF1" w:rsidRDefault="00CD6DF1" w:rsidP="00CD6DF1">
      <w:pPr>
        <w:spacing w:after="0" w:line="240" w:lineRule="auto"/>
        <w:contextualSpacing/>
        <w:rPr>
          <w:rFonts w:eastAsiaTheme="minorEastAsia"/>
          <w:sz w:val="24"/>
          <w:szCs w:val="24"/>
          <w:lang w:val="en-US" w:eastAsia="ja-JP"/>
        </w:rPr>
      </w:pPr>
      <w:r w:rsidRPr="00CD6DF1">
        <w:rPr>
          <w:rFonts w:eastAsiaTheme="minorEastAsia"/>
          <w:sz w:val="24"/>
          <w:szCs w:val="24"/>
          <w:lang w:val="en-US" w:eastAsia="ja-JP"/>
        </w:rPr>
        <w:t>FormerFedsGroup.Com LLC</w:t>
      </w:r>
    </w:p>
    <w:p w14:paraId="05B2C1DA" w14:textId="77777777" w:rsidR="00CD6DF1" w:rsidRPr="00CD6DF1" w:rsidRDefault="00CD6DF1" w:rsidP="00CD6DF1">
      <w:pPr>
        <w:spacing w:after="0" w:line="240" w:lineRule="auto"/>
        <w:contextualSpacing/>
        <w:rPr>
          <w:rFonts w:eastAsiaTheme="minorEastAsia"/>
          <w:sz w:val="24"/>
          <w:szCs w:val="24"/>
          <w:lang w:val="en-US" w:eastAsia="ja-JP"/>
        </w:rPr>
      </w:pPr>
      <w:r w:rsidRPr="00CD6DF1">
        <w:rPr>
          <w:rFonts w:eastAsiaTheme="minorEastAsia"/>
          <w:sz w:val="24"/>
          <w:szCs w:val="24"/>
          <w:lang w:val="en-US" w:eastAsia="ja-JP"/>
        </w:rPr>
        <w:t>141 “</w:t>
      </w:r>
      <w:proofErr w:type="spellStart"/>
      <w:r w:rsidRPr="00CD6DF1">
        <w:rPr>
          <w:rFonts w:eastAsiaTheme="minorEastAsia"/>
          <w:sz w:val="24"/>
          <w:szCs w:val="24"/>
          <w:lang w:val="en-US" w:eastAsia="ja-JP"/>
        </w:rPr>
        <w:t>i</w:t>
      </w:r>
      <w:proofErr w:type="spellEnd"/>
      <w:r w:rsidRPr="00CD6DF1">
        <w:rPr>
          <w:rFonts w:eastAsiaTheme="minorEastAsia"/>
          <w:sz w:val="24"/>
          <w:szCs w:val="24"/>
          <w:lang w:val="en-US" w:eastAsia="ja-JP"/>
        </w:rPr>
        <w:t>” Route 130 S., 303</w:t>
      </w:r>
    </w:p>
    <w:p w14:paraId="35C38E7B" w14:textId="77777777" w:rsidR="00CD6DF1" w:rsidRPr="00CD6DF1" w:rsidRDefault="00CD6DF1" w:rsidP="00CD6DF1">
      <w:pPr>
        <w:spacing w:after="0" w:line="240" w:lineRule="auto"/>
        <w:contextualSpacing/>
        <w:rPr>
          <w:rFonts w:eastAsiaTheme="minorEastAsia"/>
          <w:sz w:val="24"/>
          <w:szCs w:val="24"/>
          <w:lang w:val="en-US" w:eastAsia="ja-JP"/>
        </w:rPr>
      </w:pPr>
      <w:r w:rsidRPr="00CD6DF1">
        <w:rPr>
          <w:rFonts w:eastAsiaTheme="minorEastAsia"/>
          <w:sz w:val="24"/>
          <w:szCs w:val="24"/>
          <w:lang w:val="en-US" w:eastAsia="ja-JP"/>
        </w:rPr>
        <w:t>Cinnaminson, NJ  08077</w:t>
      </w:r>
    </w:p>
    <w:p w14:paraId="2A3DC6B2" w14:textId="77777777" w:rsidR="00CD6DF1" w:rsidRPr="00CD6DF1" w:rsidRDefault="00CD6DF1" w:rsidP="00CD6DF1">
      <w:pPr>
        <w:spacing w:after="0" w:line="240" w:lineRule="auto"/>
        <w:contextualSpacing/>
        <w:rPr>
          <w:rFonts w:eastAsiaTheme="minorEastAsia"/>
          <w:sz w:val="24"/>
          <w:szCs w:val="24"/>
          <w:lang w:val="en-US" w:eastAsia="ja-JP"/>
        </w:rPr>
      </w:pPr>
      <w:r w:rsidRPr="00CD6DF1">
        <w:rPr>
          <w:rFonts w:eastAsiaTheme="minorEastAsia"/>
          <w:sz w:val="24"/>
          <w:szCs w:val="24"/>
          <w:lang w:val="en-US" w:eastAsia="ja-JP"/>
        </w:rPr>
        <w:t>T: 856-607-5708</w:t>
      </w:r>
    </w:p>
    <w:p w14:paraId="1EFC757B" w14:textId="77777777" w:rsidR="00CD6DF1" w:rsidRPr="00CD6DF1" w:rsidRDefault="00AE085E" w:rsidP="00CD6DF1">
      <w:pPr>
        <w:spacing w:after="0" w:line="240" w:lineRule="auto"/>
        <w:contextualSpacing/>
        <w:rPr>
          <w:rFonts w:eastAsiaTheme="minorEastAsia"/>
          <w:sz w:val="24"/>
          <w:szCs w:val="24"/>
          <w:lang w:val="en-US" w:eastAsia="ja-JP"/>
        </w:rPr>
      </w:pPr>
      <w:hyperlink r:id="rId13" w:history="1">
        <w:r w:rsidR="00CD6DF1" w:rsidRPr="00CD6DF1">
          <w:rPr>
            <w:rFonts w:eastAsiaTheme="minorEastAsia"/>
            <w:color w:val="0563C1" w:themeColor="hyperlink"/>
            <w:sz w:val="24"/>
            <w:szCs w:val="24"/>
            <w:u w:val="single"/>
            <w:lang w:val="en-US" w:eastAsia="ja-JP"/>
          </w:rPr>
          <w:t>bradford.geyer@formerfedsgroup.com</w:t>
        </w:r>
      </w:hyperlink>
    </w:p>
    <w:p w14:paraId="5633A8DA" w14:textId="77777777" w:rsidR="00CD6DF1" w:rsidRPr="00CD6DF1" w:rsidRDefault="00CD6DF1" w:rsidP="00CD6DF1">
      <w:pPr>
        <w:spacing w:after="0" w:line="240" w:lineRule="auto"/>
        <w:contextualSpacing/>
        <w:rPr>
          <w:rFonts w:eastAsiaTheme="minorEastAsia"/>
          <w:i/>
          <w:iCs/>
          <w:sz w:val="24"/>
          <w:szCs w:val="24"/>
          <w:lang w:val="en-US" w:eastAsia="ja-JP"/>
        </w:rPr>
      </w:pPr>
    </w:p>
    <w:p w14:paraId="1081F238" w14:textId="77777777" w:rsidR="00CD6DF1" w:rsidRPr="00CD6DF1" w:rsidRDefault="00CD6DF1" w:rsidP="00CD6DF1">
      <w:pPr>
        <w:spacing w:after="0" w:line="240" w:lineRule="auto"/>
        <w:contextualSpacing/>
        <w:rPr>
          <w:rFonts w:eastAsiaTheme="minorEastAsia"/>
          <w:sz w:val="24"/>
          <w:szCs w:val="24"/>
          <w:lang w:val="en-US" w:eastAsia="ja-JP"/>
        </w:rPr>
      </w:pPr>
      <w:r w:rsidRPr="00CD6DF1">
        <w:rPr>
          <w:rFonts w:eastAsiaTheme="minorEastAsia"/>
          <w:sz w:val="24"/>
          <w:szCs w:val="24"/>
          <w:lang w:val="en-US" w:eastAsia="ja-JP"/>
        </w:rPr>
        <w:t>Melissa Anne Jacobs, Esq.</w:t>
      </w:r>
    </w:p>
    <w:p w14:paraId="6435FAD9" w14:textId="77777777" w:rsidR="00CD6DF1" w:rsidRPr="00CD6DF1" w:rsidRDefault="00CD6DF1" w:rsidP="00CD6DF1">
      <w:pPr>
        <w:spacing w:after="0" w:line="240" w:lineRule="auto"/>
        <w:contextualSpacing/>
        <w:rPr>
          <w:rFonts w:eastAsiaTheme="minorEastAsia"/>
          <w:sz w:val="24"/>
          <w:szCs w:val="24"/>
          <w:lang w:val="en-US" w:eastAsia="ja-JP"/>
        </w:rPr>
      </w:pPr>
      <w:r w:rsidRPr="00CD6DF1">
        <w:rPr>
          <w:rFonts w:eastAsiaTheme="minorEastAsia"/>
          <w:sz w:val="24"/>
          <w:szCs w:val="24"/>
          <w:lang w:val="en-US" w:eastAsia="ja-JP"/>
        </w:rPr>
        <w:t>Affiliate Attorney</w:t>
      </w:r>
    </w:p>
    <w:p w14:paraId="05E552FE" w14:textId="77777777" w:rsidR="00CD6DF1" w:rsidRPr="00CD6DF1" w:rsidRDefault="00CD6DF1" w:rsidP="00CD6DF1">
      <w:pPr>
        <w:spacing w:after="0" w:line="240" w:lineRule="auto"/>
        <w:contextualSpacing/>
        <w:rPr>
          <w:rFonts w:eastAsiaTheme="minorEastAsia"/>
          <w:sz w:val="24"/>
          <w:szCs w:val="24"/>
          <w:lang w:val="en-US" w:eastAsia="ja-JP"/>
        </w:rPr>
      </w:pPr>
      <w:r w:rsidRPr="00CD6DF1">
        <w:rPr>
          <w:rFonts w:eastAsiaTheme="minorEastAsia"/>
          <w:sz w:val="24"/>
          <w:szCs w:val="24"/>
          <w:lang w:val="en-US" w:eastAsia="ja-JP"/>
        </w:rPr>
        <w:t>Myer and Scher, LLP</w:t>
      </w:r>
    </w:p>
    <w:p w14:paraId="49AD8CED" w14:textId="77777777" w:rsidR="00CD6DF1" w:rsidRPr="00CD6DF1" w:rsidRDefault="00CD6DF1" w:rsidP="00CD6DF1">
      <w:pPr>
        <w:spacing w:after="0" w:line="240" w:lineRule="auto"/>
        <w:contextualSpacing/>
        <w:rPr>
          <w:rFonts w:eastAsiaTheme="minorEastAsia"/>
          <w:sz w:val="24"/>
          <w:szCs w:val="24"/>
          <w:lang w:val="en-US" w:eastAsia="ja-JP"/>
        </w:rPr>
      </w:pPr>
      <w:r w:rsidRPr="00CD6DF1">
        <w:rPr>
          <w:rFonts w:eastAsiaTheme="minorEastAsia"/>
          <w:sz w:val="24"/>
          <w:szCs w:val="24"/>
          <w:lang w:val="en-US" w:eastAsia="ja-JP"/>
        </w:rPr>
        <w:t>377B South Oyster Bay Road</w:t>
      </w:r>
    </w:p>
    <w:p w14:paraId="220431D9" w14:textId="77777777" w:rsidR="00CD6DF1" w:rsidRPr="00CD6DF1" w:rsidRDefault="00CD6DF1" w:rsidP="00CD6DF1">
      <w:pPr>
        <w:spacing w:after="0" w:line="240" w:lineRule="auto"/>
        <w:contextualSpacing/>
        <w:rPr>
          <w:rFonts w:eastAsiaTheme="minorEastAsia"/>
          <w:sz w:val="24"/>
          <w:szCs w:val="24"/>
          <w:lang w:val="en-US" w:eastAsia="ja-JP"/>
        </w:rPr>
      </w:pPr>
      <w:r w:rsidRPr="00CD6DF1">
        <w:rPr>
          <w:rFonts w:eastAsiaTheme="minorEastAsia"/>
          <w:sz w:val="24"/>
          <w:szCs w:val="24"/>
          <w:lang w:val="en-US" w:eastAsia="ja-JP"/>
        </w:rPr>
        <w:t>Plainview, NY 11803</w:t>
      </w:r>
    </w:p>
    <w:p w14:paraId="15F90BD4" w14:textId="77777777" w:rsidR="00CD6DF1" w:rsidRPr="00CD6DF1" w:rsidRDefault="00CD6DF1" w:rsidP="00CD6DF1">
      <w:pPr>
        <w:spacing w:after="0" w:line="240" w:lineRule="auto"/>
        <w:contextualSpacing/>
        <w:rPr>
          <w:rFonts w:eastAsiaTheme="minorEastAsia"/>
          <w:sz w:val="24"/>
          <w:szCs w:val="24"/>
          <w:lang w:val="en-US" w:eastAsia="ja-JP"/>
        </w:rPr>
      </w:pPr>
      <w:r w:rsidRPr="00CD6DF1">
        <w:rPr>
          <w:rFonts w:eastAsiaTheme="minorEastAsia"/>
          <w:sz w:val="24"/>
          <w:szCs w:val="24"/>
          <w:lang w:val="en-US" w:eastAsia="ja-JP"/>
        </w:rPr>
        <w:t>T: 270-510-0107</w:t>
      </w:r>
    </w:p>
    <w:p w14:paraId="033C4FCA" w14:textId="3869D304" w:rsidR="00CD6DF1" w:rsidRPr="00CD6DF1" w:rsidRDefault="00CD6DF1" w:rsidP="00005D56">
      <w:pPr>
        <w:spacing w:after="0" w:line="240" w:lineRule="auto"/>
        <w:contextualSpacing/>
        <w:rPr>
          <w:rFonts w:eastAsiaTheme="minorEastAsia"/>
          <w:sz w:val="24"/>
          <w:szCs w:val="24"/>
          <w:lang w:val="en-US" w:eastAsia="ja-JP"/>
        </w:rPr>
      </w:pPr>
      <w:r w:rsidRPr="00CD6DF1">
        <w:rPr>
          <w:rFonts w:eastAsiaTheme="minorEastAsia"/>
          <w:sz w:val="24"/>
          <w:szCs w:val="24"/>
          <w:lang w:val="en-US" w:eastAsia="ja-JP"/>
        </w:rPr>
        <w:t xml:space="preserve">Email: </w:t>
      </w:r>
      <w:hyperlink r:id="rId14" w:history="1">
        <w:r w:rsidRPr="00CD6DF1">
          <w:rPr>
            <w:rFonts w:eastAsiaTheme="minorEastAsia"/>
            <w:color w:val="0563C1" w:themeColor="hyperlink"/>
            <w:sz w:val="24"/>
            <w:szCs w:val="24"/>
            <w:u w:val="single"/>
            <w:lang w:val="en-US" w:eastAsia="ja-JP"/>
          </w:rPr>
          <w:t>melissahealth1@gmail.com</w:t>
        </w:r>
      </w:hyperlink>
      <w:r w:rsidRPr="00CD6DF1">
        <w:rPr>
          <w:rFonts w:eastAsiaTheme="minorEastAsia"/>
          <w:sz w:val="24"/>
          <w:szCs w:val="24"/>
          <w:lang w:val="en-US" w:eastAsia="ja-JP"/>
        </w:rPr>
        <w:t xml:space="preserve"> </w:t>
      </w:r>
    </w:p>
    <w:p w14:paraId="3BCD9E4C" w14:textId="77777777" w:rsidR="00CD6DF1" w:rsidRPr="00CD6DF1" w:rsidRDefault="00CD6DF1" w:rsidP="00CD6DF1">
      <w:pPr>
        <w:spacing w:after="0" w:line="240" w:lineRule="auto"/>
        <w:contextualSpacing/>
        <w:rPr>
          <w:rFonts w:eastAsiaTheme="minorEastAsia"/>
          <w:sz w:val="24"/>
          <w:szCs w:val="24"/>
          <w:lang w:val="en-US" w:eastAsia="ja-JP"/>
        </w:rPr>
      </w:pPr>
    </w:p>
    <w:p w14:paraId="5A3EA001" w14:textId="77777777" w:rsidR="00CD6DF1" w:rsidRPr="00CD6DF1" w:rsidRDefault="00CD6DF1" w:rsidP="00CD6DF1">
      <w:pPr>
        <w:spacing w:after="0" w:line="240" w:lineRule="auto"/>
        <w:contextualSpacing/>
        <w:rPr>
          <w:rFonts w:eastAsiaTheme="minorEastAsia"/>
          <w:sz w:val="24"/>
          <w:szCs w:val="24"/>
          <w:lang w:val="en-US" w:eastAsia="ja-JP"/>
        </w:rPr>
      </w:pPr>
      <w:r w:rsidRPr="00CD6DF1">
        <w:rPr>
          <w:rFonts w:eastAsiaTheme="minorEastAsia"/>
          <w:sz w:val="24"/>
          <w:szCs w:val="24"/>
          <w:lang w:val="en-US" w:eastAsia="ja-JP"/>
        </w:rPr>
        <w:t>David A. Dalia, Esq.</w:t>
      </w:r>
    </w:p>
    <w:p w14:paraId="2F8D2167" w14:textId="77777777" w:rsidR="00CD6DF1" w:rsidRPr="00CD6DF1" w:rsidRDefault="00CD6DF1" w:rsidP="00CD6DF1">
      <w:pPr>
        <w:spacing w:after="0" w:line="240" w:lineRule="auto"/>
        <w:contextualSpacing/>
        <w:rPr>
          <w:rFonts w:eastAsiaTheme="minorEastAsia"/>
          <w:sz w:val="24"/>
          <w:szCs w:val="24"/>
          <w:lang w:val="en-US" w:eastAsia="ja-JP"/>
        </w:rPr>
      </w:pPr>
      <w:r w:rsidRPr="00CD6DF1">
        <w:rPr>
          <w:rFonts w:eastAsiaTheme="minorEastAsia"/>
          <w:sz w:val="24"/>
          <w:szCs w:val="24"/>
          <w:lang w:val="en-US" w:eastAsia="ja-JP"/>
        </w:rPr>
        <w:t>830 Union Street, Suite 302</w:t>
      </w:r>
    </w:p>
    <w:p w14:paraId="54473A7E" w14:textId="77777777" w:rsidR="00CD6DF1" w:rsidRPr="00CD6DF1" w:rsidRDefault="00CD6DF1" w:rsidP="00CD6DF1">
      <w:pPr>
        <w:spacing w:after="0" w:line="240" w:lineRule="auto"/>
        <w:contextualSpacing/>
        <w:rPr>
          <w:rFonts w:eastAsiaTheme="minorEastAsia"/>
          <w:sz w:val="24"/>
          <w:szCs w:val="24"/>
          <w:lang w:val="en-US" w:eastAsia="ja-JP"/>
        </w:rPr>
      </w:pPr>
      <w:r w:rsidRPr="00CD6DF1">
        <w:rPr>
          <w:rFonts w:eastAsiaTheme="minorEastAsia"/>
          <w:sz w:val="24"/>
          <w:szCs w:val="24"/>
          <w:lang w:val="en-US" w:eastAsia="ja-JP"/>
        </w:rPr>
        <w:t>New Orleans, LA. 70112</w:t>
      </w:r>
    </w:p>
    <w:p w14:paraId="4B9BD7F4" w14:textId="77777777" w:rsidR="00CD6DF1" w:rsidRPr="00CD6DF1" w:rsidRDefault="00CD6DF1" w:rsidP="00CD6DF1">
      <w:pPr>
        <w:spacing w:after="0" w:line="240" w:lineRule="auto"/>
        <w:contextualSpacing/>
        <w:rPr>
          <w:rFonts w:eastAsiaTheme="minorEastAsia"/>
          <w:sz w:val="24"/>
          <w:szCs w:val="24"/>
          <w:lang w:val="en-US" w:eastAsia="ja-JP"/>
        </w:rPr>
      </w:pPr>
      <w:r w:rsidRPr="00CD6DF1">
        <w:rPr>
          <w:rFonts w:eastAsiaTheme="minorEastAsia"/>
          <w:sz w:val="24"/>
          <w:szCs w:val="24"/>
          <w:lang w:val="en-US" w:eastAsia="ja-JP"/>
        </w:rPr>
        <w:t>T: 504-524-5541</w:t>
      </w:r>
    </w:p>
    <w:p w14:paraId="34B87FDC" w14:textId="77777777" w:rsidR="00CD6DF1" w:rsidRPr="00CD6DF1" w:rsidRDefault="00CD6DF1" w:rsidP="00CD6DF1">
      <w:pPr>
        <w:spacing w:after="0" w:line="240" w:lineRule="auto"/>
        <w:contextualSpacing/>
        <w:rPr>
          <w:rFonts w:eastAsiaTheme="minorEastAsia"/>
          <w:sz w:val="24"/>
          <w:szCs w:val="24"/>
          <w:lang w:val="en-US" w:eastAsia="ja-JP"/>
        </w:rPr>
      </w:pPr>
      <w:r w:rsidRPr="00CD6DF1">
        <w:rPr>
          <w:rFonts w:eastAsiaTheme="minorEastAsia"/>
          <w:sz w:val="24"/>
          <w:szCs w:val="24"/>
          <w:lang w:val="en-US" w:eastAsia="ja-JP"/>
        </w:rPr>
        <w:t xml:space="preserve">Email: </w:t>
      </w:r>
      <w:hyperlink r:id="rId15" w:history="1">
        <w:r w:rsidRPr="00CD6DF1">
          <w:rPr>
            <w:rFonts w:eastAsiaTheme="minorEastAsia"/>
            <w:color w:val="0563C1" w:themeColor="hyperlink"/>
            <w:sz w:val="24"/>
            <w:szCs w:val="24"/>
            <w:u w:val="single"/>
            <w:lang w:val="en-US" w:eastAsia="ja-JP"/>
          </w:rPr>
          <w:t>davidadalia@gmail.com</w:t>
        </w:r>
      </w:hyperlink>
      <w:r w:rsidRPr="00CD6DF1">
        <w:rPr>
          <w:rFonts w:eastAsiaTheme="minorEastAsia"/>
          <w:sz w:val="24"/>
          <w:szCs w:val="24"/>
          <w:lang w:val="en-US" w:eastAsia="ja-JP"/>
        </w:rPr>
        <w:t xml:space="preserve"> </w:t>
      </w:r>
    </w:p>
    <w:p w14:paraId="250DFB0F" w14:textId="77777777" w:rsidR="00CD6DF1" w:rsidRPr="00CD6DF1" w:rsidRDefault="00CD6DF1" w:rsidP="00CD6DF1">
      <w:pPr>
        <w:spacing w:after="0" w:line="240" w:lineRule="auto"/>
        <w:contextualSpacing/>
        <w:rPr>
          <w:rFonts w:eastAsiaTheme="minorEastAsia"/>
          <w:i/>
          <w:iCs/>
          <w:sz w:val="24"/>
          <w:szCs w:val="24"/>
          <w:lang w:val="en-US" w:eastAsia="ja-JP"/>
        </w:rPr>
      </w:pPr>
    </w:p>
    <w:p w14:paraId="6C6EAC70" w14:textId="77777777" w:rsidR="00CD6DF1" w:rsidRPr="00CD6DF1" w:rsidRDefault="00CD6DF1" w:rsidP="00CD6DF1">
      <w:pPr>
        <w:spacing w:after="0" w:line="240" w:lineRule="auto"/>
        <w:contextualSpacing/>
        <w:rPr>
          <w:rFonts w:eastAsiaTheme="minorEastAsia"/>
          <w:sz w:val="24"/>
          <w:szCs w:val="24"/>
          <w:lang w:val="en-US" w:eastAsia="ja-JP"/>
        </w:rPr>
      </w:pPr>
      <w:r w:rsidRPr="00CD6DF1">
        <w:rPr>
          <w:rFonts w:eastAsiaTheme="minorEastAsia"/>
          <w:sz w:val="24"/>
          <w:szCs w:val="24"/>
          <w:lang w:val="en-US" w:eastAsia="ja-JP"/>
        </w:rPr>
        <w:t>Jamie Scher, Esq.</w:t>
      </w:r>
    </w:p>
    <w:p w14:paraId="6CDA41E4" w14:textId="77777777" w:rsidR="00CD6DF1" w:rsidRPr="00CD6DF1" w:rsidRDefault="00CD6DF1" w:rsidP="00CD6DF1">
      <w:pPr>
        <w:spacing w:after="0" w:line="240" w:lineRule="auto"/>
        <w:contextualSpacing/>
        <w:rPr>
          <w:rFonts w:eastAsiaTheme="minorEastAsia"/>
          <w:sz w:val="24"/>
          <w:szCs w:val="24"/>
          <w:lang w:val="en-US" w:eastAsia="ja-JP"/>
        </w:rPr>
      </w:pPr>
      <w:r w:rsidRPr="00CD6DF1">
        <w:rPr>
          <w:rFonts w:eastAsiaTheme="minorEastAsia"/>
          <w:sz w:val="24"/>
          <w:szCs w:val="24"/>
          <w:lang w:val="en-US" w:eastAsia="ja-JP"/>
        </w:rPr>
        <w:t>Myer and Scher, LLP</w:t>
      </w:r>
    </w:p>
    <w:p w14:paraId="0C1EB5C0" w14:textId="77777777" w:rsidR="00CD6DF1" w:rsidRPr="00CD6DF1" w:rsidRDefault="00CD6DF1" w:rsidP="00CD6DF1">
      <w:pPr>
        <w:spacing w:after="0" w:line="240" w:lineRule="auto"/>
        <w:contextualSpacing/>
        <w:rPr>
          <w:rFonts w:eastAsiaTheme="minorEastAsia"/>
          <w:sz w:val="24"/>
          <w:szCs w:val="24"/>
          <w:lang w:val="en-US" w:eastAsia="ja-JP"/>
        </w:rPr>
      </w:pPr>
      <w:r w:rsidRPr="00CD6DF1">
        <w:rPr>
          <w:rFonts w:eastAsiaTheme="minorEastAsia"/>
          <w:sz w:val="24"/>
          <w:szCs w:val="24"/>
          <w:lang w:val="en-US" w:eastAsia="ja-JP"/>
        </w:rPr>
        <w:t>377B South Oyster Bay Road</w:t>
      </w:r>
    </w:p>
    <w:p w14:paraId="112F4C36" w14:textId="77777777" w:rsidR="00CD6DF1" w:rsidRPr="00CD6DF1" w:rsidRDefault="00CD6DF1" w:rsidP="00CD6DF1">
      <w:pPr>
        <w:spacing w:after="0" w:line="240" w:lineRule="auto"/>
        <w:contextualSpacing/>
        <w:rPr>
          <w:rFonts w:eastAsiaTheme="minorEastAsia"/>
          <w:sz w:val="24"/>
          <w:szCs w:val="24"/>
          <w:lang w:val="en-US" w:eastAsia="ja-JP"/>
        </w:rPr>
      </w:pPr>
      <w:r w:rsidRPr="00CD6DF1">
        <w:rPr>
          <w:rFonts w:eastAsiaTheme="minorEastAsia"/>
          <w:sz w:val="24"/>
          <w:szCs w:val="24"/>
          <w:lang w:val="en-US" w:eastAsia="ja-JP"/>
        </w:rPr>
        <w:t>Plainview, NY 11803</w:t>
      </w:r>
    </w:p>
    <w:p w14:paraId="5E8B75B4" w14:textId="77777777" w:rsidR="00CD6DF1" w:rsidRPr="00CD6DF1" w:rsidRDefault="00CD6DF1" w:rsidP="00CD6DF1">
      <w:pPr>
        <w:spacing w:after="0" w:line="240" w:lineRule="auto"/>
        <w:contextualSpacing/>
        <w:rPr>
          <w:rFonts w:eastAsiaTheme="minorEastAsia"/>
          <w:sz w:val="24"/>
          <w:szCs w:val="24"/>
          <w:lang w:val="en-US" w:eastAsia="ja-JP"/>
        </w:rPr>
      </w:pPr>
      <w:r w:rsidRPr="00CD6DF1">
        <w:rPr>
          <w:rFonts w:eastAsiaTheme="minorEastAsia"/>
          <w:sz w:val="24"/>
          <w:szCs w:val="24"/>
          <w:lang w:val="en-US" w:eastAsia="ja-JP"/>
        </w:rPr>
        <w:t>T: 516-713-0655</w:t>
      </w:r>
    </w:p>
    <w:p w14:paraId="272F5C2D" w14:textId="77777777" w:rsidR="00CD6DF1" w:rsidRPr="00CD6DF1" w:rsidRDefault="00CD6DF1" w:rsidP="00CD6DF1">
      <w:pPr>
        <w:spacing w:after="0" w:line="240" w:lineRule="auto"/>
        <w:contextualSpacing/>
        <w:rPr>
          <w:rFonts w:eastAsiaTheme="minorEastAsia"/>
          <w:color w:val="0563C1" w:themeColor="hyperlink"/>
          <w:sz w:val="24"/>
          <w:szCs w:val="24"/>
          <w:u w:val="single"/>
          <w:lang w:val="en-US" w:eastAsia="ja-JP"/>
        </w:rPr>
      </w:pPr>
      <w:r w:rsidRPr="00CD6DF1">
        <w:rPr>
          <w:rFonts w:eastAsiaTheme="minorEastAsia"/>
          <w:sz w:val="24"/>
          <w:szCs w:val="24"/>
          <w:lang w:val="en-US" w:eastAsia="ja-JP"/>
        </w:rPr>
        <w:t xml:space="preserve">Email: </w:t>
      </w:r>
      <w:hyperlink r:id="rId16" w:history="1">
        <w:r w:rsidRPr="00CD6DF1">
          <w:rPr>
            <w:rFonts w:eastAsiaTheme="minorEastAsia"/>
            <w:color w:val="0563C1" w:themeColor="hyperlink"/>
            <w:sz w:val="24"/>
            <w:szCs w:val="24"/>
            <w:u w:val="single"/>
            <w:lang w:val="en-US" w:eastAsia="ja-JP"/>
          </w:rPr>
          <w:t>Jamie@myerandscher.com</w:t>
        </w:r>
      </w:hyperlink>
    </w:p>
    <w:p w14:paraId="1454FCFB" w14:textId="77777777" w:rsidR="00CD6DF1" w:rsidRPr="00CD6DF1" w:rsidRDefault="00CD6DF1" w:rsidP="00CD6DF1">
      <w:pPr>
        <w:spacing w:after="0" w:line="240" w:lineRule="auto"/>
        <w:contextualSpacing/>
        <w:rPr>
          <w:rFonts w:eastAsiaTheme="minorEastAsia"/>
          <w:sz w:val="24"/>
          <w:szCs w:val="24"/>
          <w:lang w:val="en-US" w:eastAsia="ja-JP"/>
        </w:rPr>
      </w:pPr>
    </w:p>
    <w:p w14:paraId="1B79F7B6" w14:textId="77777777" w:rsidR="00CD6DF1" w:rsidRPr="00CD6DF1" w:rsidRDefault="00CD6DF1" w:rsidP="00CD6DF1">
      <w:pPr>
        <w:spacing w:after="0" w:line="240" w:lineRule="auto"/>
        <w:contextualSpacing/>
        <w:rPr>
          <w:rFonts w:eastAsiaTheme="minorEastAsia"/>
          <w:sz w:val="24"/>
          <w:szCs w:val="24"/>
          <w:lang w:val="en-US" w:eastAsia="ja-JP"/>
        </w:rPr>
      </w:pPr>
      <w:r w:rsidRPr="00CD6DF1">
        <w:rPr>
          <w:rFonts w:eastAsiaTheme="minorEastAsia"/>
          <w:sz w:val="24"/>
          <w:szCs w:val="24"/>
          <w:lang w:val="en-US" w:eastAsia="ja-JP"/>
        </w:rPr>
        <w:t>Stephen Scher, Esq.</w:t>
      </w:r>
    </w:p>
    <w:p w14:paraId="3120C262" w14:textId="77777777" w:rsidR="00CD6DF1" w:rsidRPr="00CD6DF1" w:rsidRDefault="00CD6DF1" w:rsidP="00CD6DF1">
      <w:pPr>
        <w:spacing w:after="0" w:line="240" w:lineRule="auto"/>
        <w:contextualSpacing/>
        <w:rPr>
          <w:rFonts w:eastAsiaTheme="minorEastAsia"/>
          <w:sz w:val="24"/>
          <w:szCs w:val="24"/>
          <w:lang w:val="en-US" w:eastAsia="ja-JP"/>
        </w:rPr>
      </w:pPr>
      <w:r w:rsidRPr="00CD6DF1">
        <w:rPr>
          <w:rFonts w:eastAsiaTheme="minorEastAsia"/>
          <w:sz w:val="24"/>
          <w:szCs w:val="24"/>
          <w:lang w:val="en-US" w:eastAsia="ja-JP"/>
        </w:rPr>
        <w:t>Myer and Scher, LLP</w:t>
      </w:r>
    </w:p>
    <w:p w14:paraId="50CDE518" w14:textId="77777777" w:rsidR="00CD6DF1" w:rsidRPr="00CD6DF1" w:rsidRDefault="00CD6DF1" w:rsidP="00CD6DF1">
      <w:pPr>
        <w:spacing w:after="0" w:line="240" w:lineRule="auto"/>
        <w:contextualSpacing/>
        <w:rPr>
          <w:rFonts w:eastAsiaTheme="minorEastAsia"/>
          <w:sz w:val="24"/>
          <w:szCs w:val="24"/>
          <w:lang w:val="en-US" w:eastAsia="ja-JP"/>
        </w:rPr>
      </w:pPr>
      <w:r w:rsidRPr="00CD6DF1">
        <w:rPr>
          <w:rFonts w:eastAsiaTheme="minorEastAsia"/>
          <w:sz w:val="24"/>
          <w:szCs w:val="24"/>
          <w:lang w:val="en-US" w:eastAsia="ja-JP"/>
        </w:rPr>
        <w:t>377B South Oyster Bay Road</w:t>
      </w:r>
    </w:p>
    <w:p w14:paraId="05DAAC1A" w14:textId="77777777" w:rsidR="00CD6DF1" w:rsidRPr="00CD6DF1" w:rsidRDefault="00CD6DF1" w:rsidP="00CD6DF1">
      <w:pPr>
        <w:spacing w:after="0" w:line="240" w:lineRule="auto"/>
        <w:contextualSpacing/>
        <w:rPr>
          <w:rFonts w:eastAsiaTheme="minorEastAsia"/>
          <w:sz w:val="24"/>
          <w:szCs w:val="24"/>
          <w:lang w:val="en-US" w:eastAsia="ja-JP"/>
        </w:rPr>
      </w:pPr>
      <w:r w:rsidRPr="00CD6DF1">
        <w:rPr>
          <w:rFonts w:eastAsiaTheme="minorEastAsia"/>
          <w:sz w:val="24"/>
          <w:szCs w:val="24"/>
          <w:lang w:val="en-US" w:eastAsia="ja-JP"/>
        </w:rPr>
        <w:t>Plainview, NY 11803</w:t>
      </w:r>
    </w:p>
    <w:p w14:paraId="310927E1" w14:textId="77777777" w:rsidR="00CD6DF1" w:rsidRPr="00CD6DF1" w:rsidRDefault="00CD6DF1" w:rsidP="00CD6DF1">
      <w:pPr>
        <w:spacing w:after="0" w:line="240" w:lineRule="auto"/>
        <w:contextualSpacing/>
        <w:rPr>
          <w:rFonts w:eastAsiaTheme="minorEastAsia"/>
          <w:sz w:val="24"/>
          <w:szCs w:val="24"/>
          <w:lang w:val="en-US" w:eastAsia="ja-JP"/>
        </w:rPr>
      </w:pPr>
      <w:r w:rsidRPr="00CD6DF1">
        <w:rPr>
          <w:rFonts w:eastAsiaTheme="minorEastAsia"/>
          <w:sz w:val="24"/>
          <w:szCs w:val="24"/>
          <w:lang w:val="en-US" w:eastAsia="ja-JP"/>
        </w:rPr>
        <w:t>T: 516-312-0518</w:t>
      </w:r>
    </w:p>
    <w:p w14:paraId="37E7A204" w14:textId="77777777" w:rsidR="00005D56" w:rsidRPr="000B3F27" w:rsidRDefault="00CD6DF1" w:rsidP="00005D56">
      <w:pPr>
        <w:spacing w:after="0" w:line="240" w:lineRule="auto"/>
        <w:contextualSpacing/>
        <w:rPr>
          <w:rFonts w:eastAsiaTheme="minorEastAsia"/>
          <w:sz w:val="24"/>
          <w:szCs w:val="24"/>
          <w:lang w:val="en-US" w:eastAsia="ja-JP"/>
        </w:rPr>
      </w:pPr>
      <w:r w:rsidRPr="00CD6DF1">
        <w:rPr>
          <w:rFonts w:eastAsiaTheme="minorEastAsia"/>
          <w:sz w:val="24"/>
          <w:szCs w:val="24"/>
          <w:lang w:val="en-US" w:eastAsia="ja-JP"/>
        </w:rPr>
        <w:t xml:space="preserve">Email: </w:t>
      </w:r>
      <w:hyperlink r:id="rId17" w:history="1">
        <w:r w:rsidRPr="00CD6DF1">
          <w:rPr>
            <w:rFonts w:eastAsiaTheme="minorEastAsia"/>
            <w:color w:val="0563C1" w:themeColor="hyperlink"/>
            <w:sz w:val="24"/>
            <w:szCs w:val="24"/>
            <w:u w:val="single"/>
            <w:lang w:val="en-US" w:eastAsia="ja-JP"/>
          </w:rPr>
          <w:t>Stephen@myerandscher.com</w:t>
        </w:r>
      </w:hyperlink>
      <w:r w:rsidRPr="00CD6DF1">
        <w:rPr>
          <w:rFonts w:eastAsiaTheme="minorEastAsia"/>
          <w:sz w:val="24"/>
          <w:szCs w:val="24"/>
          <w:lang w:val="en-US" w:eastAsia="ja-JP"/>
        </w:rPr>
        <w:t xml:space="preserve"> </w:t>
      </w:r>
    </w:p>
    <w:p w14:paraId="52301AC6" w14:textId="77777777" w:rsidR="00005D56" w:rsidRPr="000B3F27" w:rsidRDefault="00005D56" w:rsidP="00005D56">
      <w:pPr>
        <w:spacing w:after="0" w:line="240" w:lineRule="auto"/>
        <w:contextualSpacing/>
        <w:rPr>
          <w:rFonts w:eastAsiaTheme="minorEastAsia"/>
          <w:sz w:val="24"/>
          <w:szCs w:val="24"/>
          <w:lang w:val="en-US" w:eastAsia="ja-JP"/>
        </w:rPr>
      </w:pPr>
    </w:p>
    <w:p w14:paraId="2A952AEF" w14:textId="2CBD1FC8" w:rsidR="00FD15BD" w:rsidRPr="000B3F27" w:rsidRDefault="00005D56" w:rsidP="000B3F27">
      <w:pPr>
        <w:rPr>
          <w:rFonts w:ascii="Times New Roman" w:hAnsi="Times New Roman" w:cs="Times New Roman"/>
          <w:i/>
          <w:iCs/>
          <w:sz w:val="24"/>
          <w:szCs w:val="24"/>
          <w:lang w:val="en-US"/>
        </w:rPr>
      </w:pPr>
      <w:r w:rsidRPr="000B3F27">
        <w:rPr>
          <w:rFonts w:ascii="Segoe UI" w:hAnsi="Segoe UI" w:cs="Segoe UI"/>
          <w:i/>
          <w:iCs/>
          <w:kern w:val="2"/>
          <w:sz w:val="24"/>
          <w:szCs w:val="24"/>
          <w:lang w:val="en-US"/>
        </w:rPr>
        <w:t>This c</w:t>
      </w:r>
      <w:r w:rsidRPr="000B3F27">
        <w:rPr>
          <w:rFonts w:ascii="Segoe UI" w:hAnsi="Segoe UI" w:cs="Segoe UI"/>
          <w:i/>
          <w:iCs/>
          <w:color w:val="242424"/>
          <w:kern w:val="2"/>
          <w:sz w:val="24"/>
          <w:szCs w:val="24"/>
          <w:lang w:val="en-US"/>
        </w:rPr>
        <w:t>orrespondence is </w:t>
      </w:r>
      <w:hyperlink r:id="rId18" w:tgtFrame="_blank" w:history="1">
        <w:r w:rsidRPr="000B3F27">
          <w:rPr>
            <w:rFonts w:ascii="Segoe UI" w:hAnsi="Segoe UI" w:cs="Segoe UI"/>
            <w:i/>
            <w:iCs/>
            <w:color w:val="242424"/>
            <w:kern w:val="2"/>
            <w:sz w:val="24"/>
            <w:szCs w:val="24"/>
            <w:u w:val="single"/>
            <w:lang w:val="en-US"/>
          </w:rPr>
          <w:t>for settlement purposes</w:t>
        </w:r>
      </w:hyperlink>
      <w:r w:rsidRPr="000B3F27">
        <w:rPr>
          <w:rFonts w:ascii="Segoe UI" w:hAnsi="Segoe UI" w:cs="Segoe UI"/>
          <w:i/>
          <w:iCs/>
          <w:color w:val="242424"/>
          <w:kern w:val="2"/>
          <w:sz w:val="24"/>
          <w:szCs w:val="24"/>
          <w:lang w:val="en-US"/>
        </w:rPr>
        <w:t> only, and neither the fact of, nor any provision </w:t>
      </w:r>
      <w:hyperlink r:id="rId19" w:tgtFrame="_blank" w:history="1">
        <w:r w:rsidRPr="000B3F27">
          <w:rPr>
            <w:rFonts w:ascii="Segoe UI" w:hAnsi="Segoe UI" w:cs="Segoe UI"/>
            <w:i/>
            <w:iCs/>
            <w:color w:val="242424"/>
            <w:kern w:val="2"/>
            <w:sz w:val="24"/>
            <w:szCs w:val="24"/>
            <w:u w:val="single"/>
            <w:lang w:val="en-US"/>
          </w:rPr>
          <w:t>contained in</w:t>
        </w:r>
      </w:hyperlink>
      <w:r w:rsidRPr="000B3F27">
        <w:rPr>
          <w:rFonts w:ascii="Segoe UI" w:hAnsi="Segoe UI" w:cs="Segoe UI"/>
          <w:i/>
          <w:iCs/>
          <w:color w:val="242424"/>
          <w:kern w:val="2"/>
          <w:sz w:val="24"/>
          <w:szCs w:val="24"/>
          <w:lang w:val="en-US"/>
        </w:rPr>
        <w:t>, this Document nor any </w:t>
      </w:r>
      <w:hyperlink r:id="rId20" w:tgtFrame="_blank" w:history="1">
        <w:r w:rsidRPr="000B3F27">
          <w:rPr>
            <w:rFonts w:ascii="Segoe UI" w:hAnsi="Segoe UI" w:cs="Segoe UI"/>
            <w:i/>
            <w:iCs/>
            <w:color w:val="242424"/>
            <w:kern w:val="2"/>
            <w:sz w:val="24"/>
            <w:szCs w:val="24"/>
            <w:u w:val="single"/>
            <w:lang w:val="en-US"/>
          </w:rPr>
          <w:t>action taken</w:t>
        </w:r>
      </w:hyperlink>
      <w:r w:rsidRPr="000B3F27">
        <w:rPr>
          <w:rFonts w:ascii="Segoe UI" w:hAnsi="Segoe UI" w:cs="Segoe UI"/>
          <w:i/>
          <w:iCs/>
          <w:color w:val="242424"/>
          <w:kern w:val="2"/>
          <w:sz w:val="24"/>
          <w:szCs w:val="24"/>
          <w:lang w:val="en-US"/>
        </w:rPr>
        <w:t> hereunder shall constitute, be construed as, or be admissible in evidence against the Plaintiffs.</w:t>
      </w:r>
      <w:bookmarkEnd w:id="0"/>
    </w:p>
    <w:sectPr w:rsidR="00FD15BD" w:rsidRPr="000B3F27" w:rsidSect="00276DCF">
      <w:headerReference w:type="default" r:id="rId21"/>
      <w:footerReference w:type="default" r:id="rId22"/>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2FFA5" w14:textId="77777777" w:rsidR="00AE085E" w:rsidRDefault="00AE085E">
      <w:pPr>
        <w:spacing w:after="0" w:line="240" w:lineRule="auto"/>
      </w:pPr>
      <w:r>
        <w:separator/>
      </w:r>
    </w:p>
  </w:endnote>
  <w:endnote w:type="continuationSeparator" w:id="0">
    <w:p w14:paraId="56FE3058" w14:textId="77777777" w:rsidR="00AE085E" w:rsidRDefault="00AE0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50CC3" w14:textId="5F485491" w:rsidR="00276DCF" w:rsidRDefault="00005D56">
    <w:pPr>
      <w:pStyle w:val="Footer"/>
    </w:pPr>
    <w:r>
      <w:rPr>
        <w:noProof/>
        <w:lang w:val="en-US"/>
      </w:rPr>
      <mc:AlternateContent>
        <mc:Choice Requires="wps">
          <w:drawing>
            <wp:anchor distT="4294967295" distB="4294967295" distL="114300" distR="114300" simplePos="0" relativeHeight="251659264" behindDoc="0" locked="0" layoutInCell="1" allowOverlap="1" wp14:anchorId="59788F28" wp14:editId="11E37D3D">
              <wp:simplePos x="0" y="0"/>
              <wp:positionH relativeFrom="margin">
                <wp:align>center</wp:align>
              </wp:positionH>
              <wp:positionV relativeFrom="paragraph">
                <wp:posOffset>20319</wp:posOffset>
              </wp:positionV>
              <wp:extent cx="6336030" cy="0"/>
              <wp:effectExtent l="0" t="0" r="0" b="0"/>
              <wp:wrapNone/>
              <wp:docPr id="18685704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3603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D9C1761" id="Straight Connector 1" o:spid="_x0000_s1026" style="position:absolute;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1.6pt" to="498.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" strokecolor="#a5a5a5 [2092]" strokeweight="1.5pt">
              <v:stroke joinstyle="miter"/>
              <o:lock v:ext="edit" shapetype="f"/>
              <w10:wrap anchorx="margin"/>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0BC53" w14:textId="77777777" w:rsidR="00AE085E" w:rsidRDefault="00AE085E">
      <w:pPr>
        <w:spacing w:after="0" w:line="240" w:lineRule="auto"/>
      </w:pPr>
      <w:r>
        <w:separator/>
      </w:r>
    </w:p>
  </w:footnote>
  <w:footnote w:type="continuationSeparator" w:id="0">
    <w:p w14:paraId="205E3F11" w14:textId="77777777" w:rsidR="00AE085E" w:rsidRDefault="00AE085E">
      <w:pPr>
        <w:spacing w:after="0" w:line="240" w:lineRule="auto"/>
      </w:pPr>
      <w:r>
        <w:continuationSeparator/>
      </w:r>
    </w:p>
  </w:footnote>
  <w:footnote w:id="1">
    <w:p w14:paraId="68D3BA5E" w14:textId="77777777" w:rsidR="00CD6DF1" w:rsidRDefault="00CD6DF1" w:rsidP="00CD6DF1">
      <w:pPr>
        <w:pStyle w:val="FootnoteText"/>
      </w:pPr>
      <w:r>
        <w:rPr>
          <w:rStyle w:val="FootnoteReference"/>
        </w:rPr>
        <w:footnoteRef/>
      </w:r>
      <w:r>
        <w:t xml:space="preserve"> </w:t>
      </w:r>
      <w:hyperlink r:id="rId1" w:history="1">
        <w:r w:rsidRPr="009435F0">
          <w:rPr>
            <w:rStyle w:val="Hyperlink"/>
          </w:rPr>
          <w:t>www.chbmp.org</w:t>
        </w:r>
      </w:hyperlink>
      <w:r>
        <w:t xml:space="preserve"> and </w:t>
      </w:r>
      <w:hyperlink r:id="rId2" w:history="1">
        <w:r w:rsidRPr="009435F0">
          <w:rPr>
            <w:rStyle w:val="Hyperlink"/>
          </w:rPr>
          <w:t>www.formerfedsgroup.org/cases</w:t>
        </w:r>
      </w:hyperlink>
    </w:p>
    <w:p w14:paraId="1DA19E50" w14:textId="77777777" w:rsidR="00CD6DF1" w:rsidRDefault="00CD6DF1" w:rsidP="00CD6DF1">
      <w:pPr>
        <w:pStyle w:val="FootnoteText"/>
      </w:pPr>
    </w:p>
    <w:p w14:paraId="5C4327B2" w14:textId="77777777" w:rsidR="00CD6DF1" w:rsidRDefault="00CD6DF1" w:rsidP="00CD6DF1">
      <w:pPr>
        <w:pStyle w:val="FootnoteText"/>
      </w:pPr>
    </w:p>
  </w:footnote>
  <w:footnote w:id="2">
    <w:p w14:paraId="382DC455" w14:textId="604324BD" w:rsidR="00CD6DF1" w:rsidRDefault="00CD6DF1">
      <w:pPr>
        <w:pStyle w:val="FootnoteText"/>
      </w:pPr>
      <w:r>
        <w:rPr>
          <w:rStyle w:val="FootnoteReference"/>
        </w:rPr>
        <w:footnoteRef/>
      </w:r>
      <w:r>
        <w:t xml:space="preserve"> </w:t>
      </w:r>
      <w:hyperlink r:id="rId3" w:history="1">
        <w:r w:rsidRPr="009F4D7F">
          <w:rPr>
            <w:rStyle w:val="Hyperlink"/>
          </w:rPr>
          <w:t>https://ascpt.onlinelibrary.wiley.com/doi/pdf/10.1002/cpt.2145</w:t>
        </w:r>
      </w:hyperlink>
      <w:r>
        <w:t xml:space="preserve"> </w:t>
      </w:r>
    </w:p>
  </w:footnote>
  <w:footnote w:id="3">
    <w:p w14:paraId="26958CCD" w14:textId="3C4DF250" w:rsidR="00CD6DF1" w:rsidRDefault="00CD6DF1">
      <w:pPr>
        <w:pStyle w:val="FootnoteText"/>
      </w:pPr>
      <w:r>
        <w:rPr>
          <w:rStyle w:val="FootnoteReference"/>
        </w:rPr>
        <w:footnoteRef/>
      </w:r>
      <w:r>
        <w:t xml:space="preserve"> </w:t>
      </w:r>
      <w:hyperlink r:id="rId4" w:history="1">
        <w:r w:rsidRPr="009F4D7F">
          <w:rPr>
            <w:rStyle w:val="Hyperlink"/>
          </w:rPr>
          <w:t>https://ascpt.onlinelibrary.wiley.com/doi/10.1002/cpt.2587</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2B647" w14:textId="22EE0CEB" w:rsidR="00CD6DF1" w:rsidRDefault="00CD6DF1" w:rsidP="00CD6DF1">
    <w:pPr>
      <w:pStyle w:val="Header"/>
    </w:pPr>
    <w:r>
      <w:t xml:space="preserve">Deborah H. </w:t>
    </w:r>
    <w:proofErr w:type="spellStart"/>
    <w:r>
      <w:t>Telman</w:t>
    </w:r>
    <w:proofErr w:type="spellEnd"/>
  </w:p>
  <w:p w14:paraId="70FD2753" w14:textId="7AEE4C32" w:rsidR="00CD6DF1" w:rsidRDefault="00CD6DF1" w:rsidP="00CD6DF1">
    <w:pPr>
      <w:pStyle w:val="Header"/>
    </w:pPr>
    <w:proofErr w:type="spellStart"/>
    <w:r>
      <w:t>Executive</w:t>
    </w:r>
    <w:proofErr w:type="spellEnd"/>
    <w:r>
      <w:t xml:space="preserve"> Vice </w:t>
    </w:r>
    <w:proofErr w:type="spellStart"/>
    <w:r>
      <w:t>President</w:t>
    </w:r>
    <w:proofErr w:type="spellEnd"/>
    <w:r>
      <w:t xml:space="preserve">, </w:t>
    </w:r>
    <w:proofErr w:type="spellStart"/>
    <w:r>
      <w:t>Corporate</w:t>
    </w:r>
    <w:proofErr w:type="spellEnd"/>
    <w:r>
      <w:t xml:space="preserve"> </w:t>
    </w:r>
    <w:proofErr w:type="spellStart"/>
    <w:r>
      <w:t>Affairs</w:t>
    </w:r>
    <w:proofErr w:type="spellEnd"/>
    <w:r>
      <w:t xml:space="preserve"> and General </w:t>
    </w:r>
    <w:proofErr w:type="spellStart"/>
    <w:r>
      <w:t>Counsel</w:t>
    </w:r>
    <w:proofErr w:type="spellEnd"/>
  </w:p>
  <w:p w14:paraId="3C02D73E" w14:textId="4A49712C" w:rsidR="00CD6DF1" w:rsidRDefault="00CD6DF1" w:rsidP="00CD6DF1">
    <w:pPr>
      <w:pStyle w:val="Header"/>
    </w:pPr>
    <w:proofErr w:type="spellStart"/>
    <w:r>
      <w:t>October</w:t>
    </w:r>
    <w:proofErr w:type="spellEnd"/>
    <w:r>
      <w:t xml:space="preserve"> 12, 2023</w:t>
    </w:r>
  </w:p>
  <w:p w14:paraId="32551114" w14:textId="748D3102" w:rsidR="00CD6DF1" w:rsidRDefault="00CD6DF1" w:rsidP="00CD6DF1">
    <w:pPr>
      <w:pStyle w:val="Header"/>
    </w:pPr>
    <w:r>
      <w:t xml:space="preserve">Page </w:t>
    </w:r>
    <w:r>
      <w:fldChar w:fldCharType="begin"/>
    </w:r>
    <w:r>
      <w:instrText xml:space="preserve"> PAGE   \* MERGEFORMAT </w:instrText>
    </w:r>
    <w:r>
      <w:fldChar w:fldCharType="separate"/>
    </w:r>
    <w:r w:rsidR="006175AE">
      <w:rPr>
        <w:noProof/>
      </w:rPr>
      <w:t>6</w:t>
    </w:r>
    <w:r>
      <w:rPr>
        <w:noProof/>
      </w:rPr>
      <w:fldChar w:fldCharType="end"/>
    </w:r>
  </w:p>
  <w:p w14:paraId="43DA5FD4" w14:textId="77777777" w:rsidR="00CD6DF1" w:rsidRDefault="00CD6DF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959F6"/>
    <w:multiLevelType w:val="hybridMultilevel"/>
    <w:tmpl w:val="D67E6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5BD7C32"/>
    <w:multiLevelType w:val="multilevel"/>
    <w:tmpl w:val="986CD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Q1sTQyNTQwNjQ2M7ZU0lEKTi0uzszPAykwrAUA1ztodiwAAAA="/>
  </w:docVars>
  <w:rsids>
    <w:rsidRoot w:val="003A54DC"/>
    <w:rsid w:val="00005D56"/>
    <w:rsid w:val="00037585"/>
    <w:rsid w:val="00090CE0"/>
    <w:rsid w:val="000B3F27"/>
    <w:rsid w:val="00147841"/>
    <w:rsid w:val="001607E8"/>
    <w:rsid w:val="001D221B"/>
    <w:rsid w:val="00276DCF"/>
    <w:rsid w:val="00312983"/>
    <w:rsid w:val="00315955"/>
    <w:rsid w:val="003A54DC"/>
    <w:rsid w:val="00421DDD"/>
    <w:rsid w:val="004E48D3"/>
    <w:rsid w:val="00571147"/>
    <w:rsid w:val="005A73F1"/>
    <w:rsid w:val="006175AE"/>
    <w:rsid w:val="00686960"/>
    <w:rsid w:val="00735B19"/>
    <w:rsid w:val="007624BC"/>
    <w:rsid w:val="007A4783"/>
    <w:rsid w:val="007C3402"/>
    <w:rsid w:val="008B0D01"/>
    <w:rsid w:val="008D7641"/>
    <w:rsid w:val="009A419E"/>
    <w:rsid w:val="00AB61EA"/>
    <w:rsid w:val="00AD3F85"/>
    <w:rsid w:val="00AE085E"/>
    <w:rsid w:val="00AE3B3D"/>
    <w:rsid w:val="00B24F64"/>
    <w:rsid w:val="00B3046A"/>
    <w:rsid w:val="00C01D31"/>
    <w:rsid w:val="00CD6DF1"/>
    <w:rsid w:val="00DB5529"/>
    <w:rsid w:val="00E51396"/>
    <w:rsid w:val="00FD15BD"/>
    <w:rsid w:val="00FD5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8712CF"/>
  <w15:docId w15:val="{4712617D-AC33-4894-AE8C-17F7A3672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4DC"/>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54DC"/>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A5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4DC"/>
    <w:rPr>
      <w:lang w:val="es-MX"/>
    </w:rPr>
  </w:style>
  <w:style w:type="character" w:styleId="Hyperlink">
    <w:name w:val="Hyperlink"/>
    <w:basedOn w:val="DefaultParagraphFont"/>
    <w:uiPriority w:val="99"/>
    <w:unhideWhenUsed/>
    <w:rsid w:val="003A54DC"/>
    <w:rPr>
      <w:color w:val="0563C1" w:themeColor="hyperlink"/>
      <w:u w:val="single"/>
    </w:rPr>
  </w:style>
  <w:style w:type="paragraph" w:styleId="ListParagraph">
    <w:name w:val="List Paragraph"/>
    <w:basedOn w:val="Normal"/>
    <w:uiPriority w:val="34"/>
    <w:qFormat/>
    <w:rsid w:val="003A54DC"/>
    <w:pPr>
      <w:ind w:left="720"/>
      <w:contextualSpacing/>
    </w:pPr>
    <w:rPr>
      <w:lang w:val="en-US"/>
    </w:rPr>
  </w:style>
  <w:style w:type="paragraph" w:styleId="NoSpacing">
    <w:name w:val="No Spacing"/>
    <w:uiPriority w:val="1"/>
    <w:qFormat/>
    <w:rsid w:val="003A54DC"/>
    <w:pPr>
      <w:spacing w:after="0" w:line="240" w:lineRule="auto"/>
    </w:pPr>
  </w:style>
  <w:style w:type="paragraph" w:customStyle="1" w:styleId="big-list">
    <w:name w:val="big-list"/>
    <w:basedOn w:val="Normal"/>
    <w:rsid w:val="0003758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CD6DF1"/>
    <w:pPr>
      <w:spacing w:after="0" w:line="240" w:lineRule="auto"/>
    </w:pPr>
    <w:rPr>
      <w:kern w:val="2"/>
      <w:sz w:val="20"/>
      <w:szCs w:val="20"/>
      <w:lang w:val="en-US"/>
    </w:rPr>
  </w:style>
  <w:style w:type="character" w:customStyle="1" w:styleId="FootnoteTextChar">
    <w:name w:val="Footnote Text Char"/>
    <w:basedOn w:val="DefaultParagraphFont"/>
    <w:link w:val="FootnoteText"/>
    <w:uiPriority w:val="99"/>
    <w:semiHidden/>
    <w:rsid w:val="00CD6DF1"/>
    <w:rPr>
      <w:kern w:val="2"/>
      <w:sz w:val="20"/>
      <w:szCs w:val="20"/>
    </w:rPr>
  </w:style>
  <w:style w:type="character" w:styleId="FootnoteReference">
    <w:name w:val="footnote reference"/>
    <w:basedOn w:val="DefaultParagraphFont"/>
    <w:uiPriority w:val="99"/>
    <w:semiHidden/>
    <w:unhideWhenUsed/>
    <w:rsid w:val="00CD6DF1"/>
    <w:rPr>
      <w:vertAlign w:val="superscript"/>
    </w:rPr>
  </w:style>
  <w:style w:type="paragraph" w:styleId="Header">
    <w:name w:val="header"/>
    <w:basedOn w:val="Normal"/>
    <w:link w:val="HeaderChar"/>
    <w:uiPriority w:val="99"/>
    <w:unhideWhenUsed/>
    <w:rsid w:val="00CD6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DF1"/>
    <w:rPr>
      <w:lang w:val="es-MX"/>
    </w:rPr>
  </w:style>
  <w:style w:type="character" w:customStyle="1" w:styleId="UnresolvedMention">
    <w:name w:val="Unresolved Mention"/>
    <w:basedOn w:val="DefaultParagraphFont"/>
    <w:uiPriority w:val="99"/>
    <w:semiHidden/>
    <w:unhideWhenUsed/>
    <w:rsid w:val="00CD6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586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radford.geyer@formerfedsgroup.com" TargetMode="External"/><Relationship Id="rId18" Type="http://schemas.openxmlformats.org/officeDocument/2006/relationships/hyperlink" Target="https://www.lawinsider.com/clause/for-settlement-purpose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jacob@jacoblevinlaw.com" TargetMode="External"/><Relationship Id="rId17" Type="http://schemas.openxmlformats.org/officeDocument/2006/relationships/hyperlink" Target="mailto:Stephen@myerandscher.com" TargetMode="External"/><Relationship Id="rId2" Type="http://schemas.openxmlformats.org/officeDocument/2006/relationships/numbering" Target="numbering.xml"/><Relationship Id="rId16" Type="http://schemas.openxmlformats.org/officeDocument/2006/relationships/hyperlink" Target="mailto:Jamie@myerandscher.com" TargetMode="External"/><Relationship Id="rId20" Type="http://schemas.openxmlformats.org/officeDocument/2006/relationships/hyperlink" Target="https://www.lawinsider.com/dictionary/action-tak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erfedsgroup.org/shop/medic-alert-bracelets/bracele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avidadalia@gmail.com" TargetMode="External"/><Relationship Id="rId23" Type="http://schemas.openxmlformats.org/officeDocument/2006/relationships/fontTable" Target="fontTable.xml"/><Relationship Id="rId10" Type="http://schemas.openxmlformats.org/officeDocument/2006/relationships/hyperlink" Target="mailto:JACOB@JACOBLEVINLAW.COM" TargetMode="External"/><Relationship Id="rId19" Type="http://schemas.openxmlformats.org/officeDocument/2006/relationships/hyperlink" Target="https://www.lawinsider.com/dictionary/contained-in" TargetMode="External"/><Relationship Id="rId4" Type="http://schemas.openxmlformats.org/officeDocument/2006/relationships/settings" Target="settings.xml"/><Relationship Id="rId9" Type="http://schemas.openxmlformats.org/officeDocument/2006/relationships/hyperlink" Target="http://WWW.JACOBLEVINLAW.COM" TargetMode="External"/><Relationship Id="rId14" Type="http://schemas.openxmlformats.org/officeDocument/2006/relationships/hyperlink" Target="mailto:melissahealth1@gmail.com"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ascpt.onlinelibrary.wiley.com/doi/pdf/10.1002/cpt.2145" TargetMode="External"/><Relationship Id="rId2" Type="http://schemas.openxmlformats.org/officeDocument/2006/relationships/hyperlink" Target="http://www.formerfedsgroup.org/cases" TargetMode="External"/><Relationship Id="rId1" Type="http://schemas.openxmlformats.org/officeDocument/2006/relationships/hyperlink" Target="http://www.chbmp.org" TargetMode="External"/><Relationship Id="rId4" Type="http://schemas.openxmlformats.org/officeDocument/2006/relationships/hyperlink" Target="https://ascpt.onlinelibrary.wiley.com/doi/10.1002/cpt.25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F9A8C-787F-4875-9228-DCA359956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Levin</dc:creator>
  <cp:keywords/>
  <dc:description/>
  <cp:lastModifiedBy>Melissa Jacobs</cp:lastModifiedBy>
  <cp:revision>2</cp:revision>
  <cp:lastPrinted>2023-03-09T20:15:00Z</cp:lastPrinted>
  <dcterms:created xsi:type="dcterms:W3CDTF">2023-10-12T15:44:00Z</dcterms:created>
  <dcterms:modified xsi:type="dcterms:W3CDTF">2023-10-12T15:44:00Z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4fd4fb1058d4ed3a2789afa34f8c332f1d9e9fb50d4fd9472a93223839c53de0</vt:lpwstr>
  </property>
</Properties>
</file>